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680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A7" w:rsidRPr="008A516C" w:rsidRDefault="002D37C4" w:rsidP="00680D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16C">
        <w:rPr>
          <w:rFonts w:ascii="Times New Roman" w:hAnsi="Times New Roman" w:cs="Times New Roman"/>
          <w:b/>
          <w:sz w:val="36"/>
          <w:szCs w:val="36"/>
        </w:rPr>
        <w:t>ПАМЯТКА ИНОСТРАННОМУ ГРАЖДАНИНУ, ПЛАНИРУЮЩЕМУ ОСУЩЕСТВЛЯТЬ ТРУДОВУЮ ДЕЯТЕЛЬНОСТЬ НА ТЕРРИТОРИИ</w:t>
      </w:r>
      <w:r w:rsidRPr="008A516C">
        <w:rPr>
          <w:rFonts w:ascii="Times New Roman" w:hAnsi="Times New Roman" w:cs="Times New Roman"/>
          <w:b/>
          <w:sz w:val="36"/>
          <w:szCs w:val="36"/>
        </w:rPr>
        <w:br/>
        <w:t xml:space="preserve"> ИРКУТСКОЙ ОБЛАСТИ</w:t>
      </w:r>
    </w:p>
    <w:p w:rsidR="00093EA7" w:rsidRPr="003340F6" w:rsidRDefault="00093EA7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0F6" w:rsidRDefault="003340F6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58074C" w:rsidP="00580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2608" cy="3647964"/>
            <wp:effectExtent l="19050" t="0" r="6642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45" cy="36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C4" w:rsidRDefault="002D37C4" w:rsidP="00D8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835697"/>
        <w:docPartObj>
          <w:docPartGallery w:val="Table of Contents"/>
          <w:docPartUnique/>
        </w:docPartObj>
      </w:sdtPr>
      <w:sdtEndPr/>
      <w:sdtContent>
        <w:p w:rsidR="002D37C4" w:rsidRPr="0042602F" w:rsidRDefault="00F9158A" w:rsidP="00F9158A">
          <w:pPr>
            <w:pStyle w:val="ab"/>
            <w:spacing w:after="48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42602F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58074C" w:rsidRPr="0042602F" w:rsidRDefault="002536EA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37C4" w:rsidRPr="0042602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107184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КРАТКАЯ ИНФОРМАЦИЯ ОБ ИРКУТСКОЙ ОБЛАСТИ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_Toc106107184 \h </w:instrTex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5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НОРМЫ ЗАКОНОДАТЕЛЬСТВА О ПОРЯДКЕ ЗАКЛЮЧЕНИЯ И ПРЕКРАЩЕНИЯ ТРУДОВОГО ДОГОВОРА С ИНОСТРАННЫМ ГРАЖДАНИНОМ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_Toc106107185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6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ПРАВА И ОБЯЗАННОСТИ РАБОТНИКА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_Toc106107186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7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ОБЩИЕ ПОЛОЖЕНИЯ ОБ ОХРАНЕ ЗДОРОВЬЯ И ЛИЧНОЙ ГИГИЕНЕ ЧЕЛОВЕКА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_Toc106107187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8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СОЦИАЛЬНО ЗНАЧИМЫЕ ЗАБОЛЕВАНИЯ И ПРИВИВКИ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_Toc106107188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89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 БРАКА ИНОСТРАННЫМ ГРАЖДАНИНОМ НА ТЕРРИТОРИИ РОССИЙСКОЙ ФЕДЕРАЦИИ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_Toc106107189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90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ПОВЕДЕНИЮ В ОБЩЕСТВЕННЫХ МЕСТАХ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_Toc106107190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74C" w:rsidRPr="0042602F" w:rsidRDefault="005E76A3" w:rsidP="0042602F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107191" w:history="1">
            <w:r w:rsidR="0058074C" w:rsidRPr="0042602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ТЕЛЕФОНЫ ЭКСТРЕННЫХ СЛУЖБ,  КОНТАКТНЫЕ ДАННЫЕ УЧРЕЖДЕНИЙ</w:t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74C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_Toc106107191 \h </w:instrTex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1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536EA" w:rsidRPr="004260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37C4" w:rsidRDefault="002536EA" w:rsidP="0042602F">
          <w:pPr>
            <w:spacing w:line="360" w:lineRule="auto"/>
          </w:pPr>
          <w:r w:rsidRPr="0042602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/>
    <w:p w:rsidR="002D37C4" w:rsidRPr="002D37C4" w:rsidRDefault="002D37C4" w:rsidP="002D37C4"/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D37C4" w:rsidRDefault="002D37C4" w:rsidP="002D37C4"/>
    <w:p w:rsidR="003340F6" w:rsidRPr="002D37C4" w:rsidRDefault="002D37C4" w:rsidP="002D37C4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106107184"/>
      <w:r w:rsidRPr="002D37C4">
        <w:rPr>
          <w:rFonts w:ascii="Times New Roman" w:hAnsi="Times New Roman" w:cs="Times New Roman"/>
          <w:color w:val="auto"/>
          <w:sz w:val="32"/>
          <w:szCs w:val="32"/>
        </w:rPr>
        <w:lastRenderedPageBreak/>
        <w:t>КРАТКАЯ ИНФОРМАЦИЯ ОБ ИРКУТСКОЙ ОБЛАСТИ</w:t>
      </w:r>
      <w:bookmarkEnd w:id="1"/>
    </w:p>
    <w:p w:rsidR="003340F6" w:rsidRPr="003340F6" w:rsidRDefault="00F9158A" w:rsidP="003340F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270510</wp:posOffset>
            </wp:positionV>
            <wp:extent cx="3592830" cy="1531620"/>
            <wp:effectExtent l="19050" t="0" r="7620" b="0"/>
            <wp:wrapTight wrapText="bothSides">
              <wp:wrapPolygon edited="0">
                <wp:start x="-115" y="0"/>
                <wp:lineTo x="-115" y="21224"/>
                <wp:lineTo x="21646" y="21224"/>
                <wp:lineTo x="21646" y="0"/>
                <wp:lineTo x="-115" y="0"/>
              </wp:wrapPolygon>
            </wp:wrapTight>
            <wp:docPr id="1" name="Рисунок 1" descr="Охота в Иркутской области 2022: сезон, открытие, сроки - Охотничий портал  Hunt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хота в Иркутской области 2022: сезон, открытие, сроки - Охотничий портал  HuntPoi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0F6" w:rsidRPr="002D37C4" w:rsidRDefault="003340F6" w:rsidP="00F91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  <w:r w:rsidRPr="002D37C4">
        <w:rPr>
          <w:rFonts w:ascii="Times New Roman" w:hAnsi="Times New Roman" w:cs="Times New Roman"/>
          <w:sz w:val="28"/>
          <w:szCs w:val="28"/>
        </w:rPr>
        <w:t xml:space="preserve"> – субъект Российской Федерации, занимающий стратегически важное экономико-географическое положение в центре азиатской части России, в южной части Восточной Сибири, граничит с Красноярским и Забайкальским краями, с Республиками Бурятия, Саха (Якутия) и Тыва.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Площадь области превышает 774 тыс. км</w:t>
      </w:r>
      <w:r w:rsidRPr="002D37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37C4">
        <w:rPr>
          <w:rFonts w:ascii="Times New Roman" w:hAnsi="Times New Roman" w:cs="Times New Roman"/>
          <w:sz w:val="28"/>
          <w:szCs w:val="28"/>
        </w:rPr>
        <w:t>. На ее территории смогла бы поместиться любая европейская страна.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Резко континентальный климат Иркутской области определяется большой протяженностью территории с севера на юг и с запада на восток.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Продолжительной холодной зимой характеризуется климат региона. В южной части Иркутской области климат более мягкий благодаря воздействию озера Байкал – одного из главных сокровищ российской природы, самого глубокого озера в мире (1637 м в глубину). Вода Байкала уникальна по своей чистоте и составляет около 20% от всех запасов пресной воды в мире.</w:t>
      </w:r>
      <w:r w:rsidRPr="002D37C4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Численность населения субъекта составляет 2,4 млн человек.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Административный центр Иркутской области – город Иркутск, расположенный в 5042 км от Москвы, в городе проживает 624 тыс. жителей.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Система административно-территориального устройства Иркутской области включает 454 муниципальных образования, в том числе 10 городских округов, 32 муниципальных района, 58 городских поселений, 354 сельских поселения.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Территория Приангарья располагает большими запасами природных ресурсов, что является уникальной возможностью для устойчивого развития региона. Здесь расположены крупные запасы золота, каменного угля, природного газа, нефти.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Ведущими видами деятельности являются добыча полезных ископаемых, металлургическое и химическое производство, производство и распределение электроэнергии, газа и воды. Машиностроительный комплекс объединяет группу предприятий разного профиля, производящих разнообразную продукцию, включая сложную современную авиационную технику, электротехническую продукцию, различное оборудование.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Иркутская область обладает развитой электроэнергетической системой, которая включает в себя работу тепловых электростанций и гидроэлектростанций. На основе гидроэнергоресурсов реки Ангары создан крупнейший и самый эффективный в мире каскад ГЭС (Иркутская, Братская и Усть-Илимская).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важнейшей отраслью экономики региона, его центральным звеном является сельское хозяйство, которое выступает основным источником продуктов питания и сырья для перерабатывающей промышленности.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Иркутская область имеет широко развитую социальную инфраструктуру.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В государственных учреждениях здравоохранения населению региона предоставляется бесплатная медицинская помощь. В ведущих медицинских центрах области проводятся большинство известных в мире и эффективных высокотехнологичных медицинских вмешательств в кардиохирургии, сосудистой хирургии, нейрохирургии, онкологии, онкогематологии, трансплантологии, травматологии и других направлениях.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Система образования является одной из базовых отраслей социального сектора региона, которая представлена образовательными организациями, реализующими дошкольные, общеобразовательные и профессиональные программы, включая основные и дополнительные.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В Иркутской области сосредоточен один из самых крупных среди восточных регионов Российской Федерации научный потенциал. Он включает академические институты Иркутского научного центра Сибирского отделения Российской академии наук, институты Восточно-Сибирского научного центра Сибирского отделения Российской Академии медицинских наук, научно-исследовательские организации сельскохозяйственного направления, прикладные научно-исследовательские и проектные институты.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2D37C4">
        <w:rPr>
          <w:rFonts w:ascii="Times New Roman" w:hAnsi="Times New Roman" w:cs="Times New Roman"/>
          <w:sz w:val="28"/>
          <w:szCs w:val="28"/>
        </w:rPr>
        <w:t>Приангарье является организатором многих культурных событий общероссийского и международного уровня, в том числе ежегодного международного фестиваля академической музыки «Звезды на Байкале», Всероссийского театрального фестиваля современной драматургии им. А. Вампилова, Байкальского международного кинофестиваля документальных, научно-популярных и учебных фильмов «Человек и природа».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В регионе особое внимание уделяется вопросам развития физической культуры и спорта, улучшению спортивной инфраструктуры и поддержке спортсменов и тренеров. Иркутские спортсмены входят в составы спортивных сборных команд Российской Федерации, включая участие в Олимпийских играх.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 xml:space="preserve">Иркутская область имеет все условия для развития индустрии туризма круглый год. Один из самых популярных видов туризма на Байкале – это экотуризм: теплые бухты, красивейшие природные ландшафты, живописные тропы. 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Природа подарила региону немалое количество курортных мест и санаториев с лечебными и минеральными водами. Целебные источники, количество которых превышает за сотню, специализируются на лечении заболеваний органов кровообращения и нервной системы, заболеваний системы пищеварения, системы кровообращения, дыхательной системы, эндокринной системы, костно-мышечной системы.</w:t>
      </w:r>
    </w:p>
    <w:p w:rsidR="003340F6" w:rsidRPr="002D37C4" w:rsidRDefault="003340F6" w:rsidP="002D37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C4">
        <w:rPr>
          <w:rFonts w:ascii="Times New Roman" w:hAnsi="Times New Roman" w:cs="Times New Roman"/>
          <w:sz w:val="28"/>
          <w:szCs w:val="28"/>
        </w:rPr>
        <w:t>Для ценителей активного отдыха наиболее привлекательными местами являются хребты Хамар-Дабан, Приморский, Северо-Байкальский, отроги Саян, Олхинское плато. Эти уникальные места не только для альпинизма, но и для занятия горнолыжным спортом, где с ноября по май лежит снег, что позволяет наслаждаться восхитительными панорамами и свежим воздухом всю зиму.</w:t>
      </w:r>
    </w:p>
    <w:p w:rsidR="003340F6" w:rsidRPr="003340F6" w:rsidRDefault="003340F6" w:rsidP="00334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EA7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06107185"/>
      <w:r w:rsidRPr="002D37C4">
        <w:rPr>
          <w:rFonts w:ascii="Times New Roman" w:hAnsi="Times New Roman" w:cs="Times New Roman"/>
          <w:color w:val="auto"/>
          <w:sz w:val="32"/>
          <w:szCs w:val="32"/>
        </w:rPr>
        <w:t>НОРМЫ ЗАКОНОДАТЕЛЬСТВА О ПОРЯДКЕ ЗАКЛЮЧЕНИЯ И ПРЕКРАЩЕНИЯ ТРУДОВОГО ДОГОВОРА С ИНОСТРАННЫМ ГРАЖДАНИНОМ</w:t>
      </w:r>
      <w:bookmarkEnd w:id="2"/>
    </w:p>
    <w:p w:rsidR="003340F6" w:rsidRPr="003340F6" w:rsidRDefault="00751A97" w:rsidP="003340F6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130175</wp:posOffset>
            </wp:positionV>
            <wp:extent cx="2747645" cy="1662430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11D" w:rsidRPr="003340F6" w:rsidRDefault="00D8711D" w:rsidP="00751A97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Style w:val="fontstyle01"/>
        </w:rPr>
        <w:t>Иностранные граждане вправе вступать в трудовые отношения на территории Российской Федерации по достижении ими 18 лет (ч. 3 ст. 327.1 ТК РФ).</w:t>
      </w:r>
    </w:p>
    <w:p w:rsidR="00D8711D" w:rsidRPr="003340F6" w:rsidRDefault="00D8711D" w:rsidP="00751A97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3340F6">
        <w:rPr>
          <w:rStyle w:val="fontstyle01"/>
        </w:rPr>
        <w:t>Согласно ч.1 ст. 65 ТК РФ при заключении трудового договора иностранный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 xml:space="preserve">работник должен представить работодателю документы, </w:t>
      </w:r>
      <w:r w:rsidRPr="003340F6">
        <w:rPr>
          <w:rStyle w:val="fontstyle21"/>
        </w:rPr>
        <w:t>предусмотренные для всех</w:t>
      </w:r>
      <w:r w:rsidRPr="003340F6">
        <w:rPr>
          <w:b/>
          <w:bCs/>
          <w:color w:val="000000"/>
          <w:sz w:val="28"/>
          <w:szCs w:val="28"/>
        </w:rPr>
        <w:t xml:space="preserve"> </w:t>
      </w:r>
      <w:r w:rsidRPr="003340F6">
        <w:rPr>
          <w:rStyle w:val="fontstyle21"/>
        </w:rPr>
        <w:t>категорий работников.</w:t>
      </w:r>
    </w:p>
    <w:p w:rsidR="00D8711D" w:rsidRPr="003340F6" w:rsidRDefault="00D8711D" w:rsidP="00751A97">
      <w:pPr>
        <w:spacing w:after="0"/>
        <w:ind w:firstLine="567"/>
        <w:jc w:val="both"/>
        <w:rPr>
          <w:rStyle w:val="fontstyle01"/>
        </w:rPr>
      </w:pPr>
      <w:r w:rsidRPr="003340F6">
        <w:rPr>
          <w:rStyle w:val="fontstyle01"/>
        </w:rPr>
        <w:t>Паспорт или иной документ, удостоверяющий личность, трудовую книжку (за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исключением случаев, когда трудовой договор заключается впервые или работник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поступает на работу на условиях совместительства), страховое свидетельство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Style w:val="fontstyle01"/>
        </w:rPr>
        <w:t>обязательного пенсионного страхования РФ (СНИЛС), документ об образовании (квалификации или наличии специальных знаний), если этого требует работа, справку</w:t>
      </w:r>
      <w:r w:rsidRPr="003340F6">
        <w:rPr>
          <w:rStyle w:val="fontstyle01"/>
        </w:rPr>
        <w:br/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основаниям, если этого требует данный вид трудовой деятельности.</w:t>
      </w:r>
    </w:p>
    <w:p w:rsidR="00D8711D" w:rsidRPr="003340F6" w:rsidRDefault="00D8711D" w:rsidP="00751A97">
      <w:pPr>
        <w:spacing w:after="0"/>
        <w:ind w:firstLine="567"/>
        <w:jc w:val="both"/>
        <w:rPr>
          <w:rStyle w:val="fontstyle01"/>
        </w:rPr>
      </w:pPr>
      <w:r w:rsidRPr="003340F6">
        <w:rPr>
          <w:rStyle w:val="fontstyle01"/>
        </w:rPr>
        <w:t>При заключении трудового договора впервые трудовую книжку и страховое свидетельство обязательного пенсионного страхования иностранному работнику оформляет работодатель (ч. 4 ст. 65 ТК РФ).</w:t>
      </w:r>
    </w:p>
    <w:p w:rsidR="00D8711D" w:rsidRPr="003340F6" w:rsidRDefault="00D8711D" w:rsidP="00D8711D">
      <w:pPr>
        <w:spacing w:after="0"/>
        <w:ind w:firstLine="851"/>
        <w:jc w:val="both"/>
        <w:rPr>
          <w:rStyle w:val="fontstyle01"/>
        </w:rPr>
      </w:pPr>
    </w:p>
    <w:p w:rsidR="00D8711D" w:rsidRPr="003340F6" w:rsidRDefault="00D8711D" w:rsidP="00D8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документы, определенные в ч. 1 ст. 327.3 ТК РФ.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(полис) ДМС, действующий на территории РФ, при заключении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трудового договора должен представить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временно пребывающий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иностранец. 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работник может не представлять такой договор (полис), если работодатель заключит с медицинской организацией договор, на основании которого этому работнику будут предоставляться по минимуму - первичная медико-санитарная помощь, неотложная специализированная медицинская помощь. Работодателю при приеме иностранца на работу стоит проверить соответствующий сертификат. Если его нет, то до заключения трудового договора работник должен пройти медосмотр.</w:t>
      </w:r>
    </w:p>
    <w:p w:rsidR="00D8711D" w:rsidRPr="003340F6" w:rsidRDefault="00D8711D" w:rsidP="00751A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Федеральному закону от 1 июля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274-ФЗ, 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 согласно которому иностранцы старше 6 лет,</w:t>
      </w:r>
      <w:r w:rsidRPr="0033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въезжающие на территорию РФ обязаны пройти медицинский осмотр и процедуру дактилоскопии и фотографирования. </w:t>
      </w:r>
    </w:p>
    <w:p w:rsidR="00D8711D" w:rsidRPr="003340F6" w:rsidRDefault="00F8245D" w:rsidP="00D8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157480</wp:posOffset>
            </wp:positionV>
            <wp:extent cx="2599055" cy="1828800"/>
            <wp:effectExtent l="19050" t="0" r="0" b="0"/>
            <wp:wrapSquare wrapText="bothSides"/>
            <wp:docPr id="4" name="Рисунок 4" descr="ПАТЕНТ НА РАБОТУ: ПОНЯТИЕ И АЛГОРИТМ ДЕЙСТВИЙ ПРИ ОФОРМЛЕНИИ | PRAVIS GROUP 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ТЕНТ НА РАБОТУ: ПОНЯТИЕ И АЛГОРИТМ ДЕЙСТВИЙ ПРИ ОФОРМЛЕНИИ | PRAVIS GROUP 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Разрешение на работу или патент.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этих документов при заключении трудового договора должен представить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временно пребывающий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иностранец.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миграционного статуса временно пребывающего иностранного гражданина, цели его визита в РФ при трудоустройстве работодатель вправе попросить его предъявить миграционную карту.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работник вправе предъявить разрешение на работу работодателю и после заключения сторонами трудового договора (ч. 2 ст. 327.3 ТК РФ).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Трудовой договор с иностранным работником помимо обязательных сведений и условий, предусмотренных ч. 1 - 2 ст. 57 ТК РФ, должен содержать ряд особенных сведений и условий.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сведения о полученном разрешении на работу вносятся в трудовой договор в порядке, установленном</w:t>
      </w:r>
      <w:r w:rsidR="00A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3 ст. 57 Трудового кодекса.</w:t>
      </w:r>
    </w:p>
    <w:p w:rsidR="003340F6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об основаниях оказания такому работнику медицинской помощи в течение срока действия трудового договора.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пункте следует указать реквизиты договора (полиса) ДМС либо договора, заключенного работодателем с медицинской организацией о предоставлении такому работ</w:t>
      </w:r>
      <w:r w:rsidR="00A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 платных медицинских услуг.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5 ст. 327.1 ТК РФ с иностранным работником заключается трудовой договор на </w:t>
      </w: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неопределенный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срок. 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Срочный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с иностранцем может быть заключен только при наличии общих оснований, предусмотренных ст. 59 Трудового кодекса.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порядке до заключения трудового договора иностранного работника нужно ознакомить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(при его наличии) (ч. 3 ст. 68 ТК РФ).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Статьей 327.6 ТК РФ определены основания прекращения трудового договора с работником, являющимся иностранным гражданином или лицом без гражданства.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приостановление действия, окончание срока действия, аннулирование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привлечение и использование иностранных работников;</w:t>
      </w:r>
    </w:p>
    <w:p w:rsidR="003340F6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на работу или патента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вр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еменное проживание в Российской 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11D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аннулирование</w:t>
      </w:r>
      <w:r w:rsidR="009B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B6B51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срока действия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на жит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 в Российской Федерации;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окончание срока действия на территории Российской Федерации договора (полиса) добровольного медицинского страхования либо прекращение действия заключенного работодателем с медицинской организацией договора о предоставлении</w:t>
      </w:r>
      <w:r w:rsidR="003340F6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платных медицинских услуг;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приведение численности работников, являющихся иностранными гражданами и лицами без гражданства, в соответствие с установленными федеральными законами, указами Президента Российской Федерации,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невозможность предоставления работнику прежней работы по окончании срока временного перевода в соответствии с частью второй статьи 327.4 ТК РФ;</w:t>
      </w:r>
    </w:p>
    <w:p w:rsidR="00D8711D" w:rsidRPr="003340F6" w:rsidRDefault="009B6B51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8711D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невозможность временного перевода работника в соответствии с частью третьей статьи 327.4 ТК РФ.</w:t>
      </w:r>
    </w:p>
    <w:p w:rsidR="00723B38" w:rsidRPr="003340F6" w:rsidRDefault="00723B38" w:rsidP="00AC71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подлежит прекращению по основаниям, предусмотренным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5 - 8 части первой настоящей статьи, по истечении одного месяца со дня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соответствующих обстоятельств.</w:t>
      </w: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основанию, предусмотренному пунктом 9 части первой настоящей статьи,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прекращается не позднее окончания срока, установленного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федеральными законами, указами Президента Российской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постановлениями Правительства Российской Федерации.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3B38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трудового договора по основаниям, предусмотренным пунктами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 11 части первой настоящей статьи, работник, являющийся иностранным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 или лицом без гражданства, должен быть предупрежден в письменной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работодателем не менее чем за три календарных дня до увольнения.</w:t>
      </w:r>
    </w:p>
    <w:p w:rsidR="00093EA7" w:rsidRPr="003340F6" w:rsidRDefault="00D8711D" w:rsidP="00AC71A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327.7 ТК РФ определены гарантии и компенсации при расторжении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и выплаты выходного пособия работнику, являющемуся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гражданином или лицом без гражданства, так наряду со случаями,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предусмотренными частью седьмой статьи 178 ТК РФ, выходное пособие в размере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двухнедельного среднего заработка выплачивается работнику, являющемуся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гражданином или лицом без гражданства, при расторжении трудового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в связи с приостановлением действия или аннулированием разрешения на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и использование иностранных работников, на основании которого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работнику было выдано разрешение на работу</w:t>
      </w:r>
      <w:r w:rsidR="00723B38" w:rsidRPr="0033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E0" w:rsidRPr="003340F6" w:rsidRDefault="00680DE0" w:rsidP="0068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DE0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06107186"/>
      <w:r w:rsidRPr="002D37C4">
        <w:rPr>
          <w:rFonts w:ascii="Times New Roman" w:hAnsi="Times New Roman" w:cs="Times New Roman"/>
          <w:color w:val="auto"/>
          <w:sz w:val="32"/>
          <w:szCs w:val="32"/>
        </w:rPr>
        <w:t>ОСНОВНЫЕ ПРАВА И ОБЯЗАННОСТИ РАБОТНИКА</w:t>
      </w:r>
      <w:bookmarkEnd w:id="3"/>
    </w:p>
    <w:p w:rsidR="003340F6" w:rsidRPr="003340F6" w:rsidRDefault="003340F6" w:rsidP="003340F6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На трудовые отношения между работником, являющимся иностранным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гражданином или лицом без гражданства, и работодателем распространяются правила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статьи 327.1-327.7 ТК РФ и иными актами, содержащими нормы трудового права,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в которых в соответствии с федеральными законами или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международными договорами Российской Федерации трудовые отношения с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работниками, являющимися иностранными гражданами или лицами без гражданства,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регулируются иностранным правом.</w:t>
      </w:r>
    </w:p>
    <w:p w:rsidR="00680DE0" w:rsidRPr="003340F6" w:rsidRDefault="00680DE0" w:rsidP="00AC71AB">
      <w:pPr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 обязан: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добросовестно исполнять свои трудовые обязанности, возложенные на него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трудовым договором;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правила внутреннего трудового распорядка;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выполнять установленные нормы труда;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 третьих</w:t>
      </w:r>
      <w:r w:rsidR="00AC71AB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лиц, находящемуся у работодателя, если работодатель несет ответственность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сохранность этого имущества) и других работников;</w:t>
      </w:r>
    </w:p>
    <w:p w:rsidR="0079494D" w:rsidRPr="003340F6" w:rsidRDefault="0079494D" w:rsidP="0079494D">
      <w:pPr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209550</wp:posOffset>
            </wp:positionV>
            <wp:extent cx="2625090" cy="1733550"/>
            <wp:effectExtent l="19050" t="0" r="3810" b="0"/>
            <wp:wrapSquare wrapText="bothSides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DE0" w:rsidRPr="003340F6" w:rsidRDefault="0079494D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b/>
          <w:color w:val="000000"/>
          <w:sz w:val="28"/>
          <w:szCs w:val="28"/>
        </w:rPr>
        <w:t>Защита трудовых прав.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 xml:space="preserve"> ст. 62 Конституции Российской Федерации иностранные граждане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пользуются в Российской Федерации правами наравне с гражданами Российской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Федерации, кроме случаев, которые установлены федеральным законом или</w:t>
      </w:r>
      <w:r w:rsidR="00680DE0" w:rsidRPr="003340F6">
        <w:rPr>
          <w:color w:val="000000"/>
          <w:sz w:val="28"/>
          <w:szCs w:val="28"/>
        </w:rPr>
        <w:t xml:space="preserve"> </w:t>
      </w:r>
      <w:r w:rsidR="00680DE0" w:rsidRPr="003340F6">
        <w:rPr>
          <w:rFonts w:ascii="Times New Roman" w:hAnsi="Times New Roman" w:cs="Times New Roman"/>
          <w:color w:val="000000"/>
          <w:sz w:val="28"/>
          <w:szCs w:val="28"/>
        </w:rPr>
        <w:t>международным договором.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На основании ст.11 Трудового Кодекса Российской Федерации его нормы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распространяются также и на трудовые отношения с участием иностранных граждан.</w:t>
      </w:r>
      <w:r w:rsidRPr="003340F6">
        <w:rPr>
          <w:color w:val="000000"/>
          <w:sz w:val="28"/>
          <w:szCs w:val="28"/>
        </w:rPr>
        <w:t xml:space="preserve"> 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Основными государственными органами, которые осуществляют контроль за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соблюдением трудовых прав, являются прокуратура и Государственная трудовая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инспекция.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В случае нарушении прав трудового законодательства работник может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обратиться с соответствующим обращением в указанные органы. На основании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поступивших обращений прокуратура, а также трудовая инспекция вправе проводить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проверки работодателя, выдавать ему обязательные для исполнения предписания, в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том числе о восстановлении на работе незаконно уволенных работников и выплате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задолженности по заработной плате. Кроме того, за нарушение трудового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законодательство предусмотрена и административная ответственность работодателя.</w:t>
      </w:r>
    </w:p>
    <w:p w:rsidR="00680DE0" w:rsidRPr="003340F6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За защитой своих трудовых прав иностранные граждане наравне с гражданами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вправе обратиться в суд общей юрисдикции.</w:t>
      </w:r>
    </w:p>
    <w:p w:rsidR="00680DE0" w:rsidRPr="003340F6" w:rsidRDefault="00680DE0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Работник вправе обратиться в суд с иском к работодателю в течение трех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месяцев, со дня, когда он узнал или должен был узнать о нарушении своего права. В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случае если предметом исковых требований является требование о выплате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задолженности по заработной плате, трехмесячный срок начинает исчисляться только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 момента увольнения работника.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По спорам о незаконном увольнении работник вправе обратиться в суд в течение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одного месяца со дня вручения ему копии приказа об увольнении либо со дня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вручения ему трудовой книжки. При пропуске по уважительной причине данные</w:t>
      </w:r>
      <w:r w:rsidRPr="003340F6">
        <w:rPr>
          <w:color w:val="000000"/>
          <w:sz w:val="28"/>
          <w:szCs w:val="28"/>
        </w:rPr>
        <w:t xml:space="preserve"> </w:t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сроки могут быть восстановлены судом.</w:t>
      </w:r>
      <w:r w:rsidRPr="003340F6">
        <w:rPr>
          <w:color w:val="000000"/>
          <w:sz w:val="28"/>
          <w:szCs w:val="28"/>
        </w:rPr>
        <w:t xml:space="preserve"> </w:t>
      </w:r>
    </w:p>
    <w:p w:rsidR="00680DE0" w:rsidRDefault="00680DE0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F6">
        <w:rPr>
          <w:rFonts w:ascii="Times New Roman" w:hAnsi="Times New Roman" w:cs="Times New Roman"/>
          <w:color w:val="000000"/>
          <w:sz w:val="28"/>
          <w:szCs w:val="28"/>
        </w:rPr>
        <w:t>Обращаться работнику необходимо в суд по месту юридического адреса</w:t>
      </w:r>
      <w:r w:rsidRPr="003340F6">
        <w:rPr>
          <w:color w:val="000000"/>
          <w:sz w:val="28"/>
          <w:szCs w:val="28"/>
        </w:rPr>
        <w:br/>
      </w:r>
      <w:r w:rsidRPr="003340F6">
        <w:rPr>
          <w:rFonts w:ascii="Times New Roman" w:hAnsi="Times New Roman" w:cs="Times New Roman"/>
          <w:color w:val="000000"/>
          <w:sz w:val="28"/>
          <w:szCs w:val="28"/>
        </w:rPr>
        <w:t>работодателя.</w:t>
      </w:r>
    </w:p>
    <w:p w:rsidR="00751A97" w:rsidRDefault="00751A97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396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106107187"/>
      <w:r w:rsidRPr="002D37C4">
        <w:rPr>
          <w:rFonts w:ascii="Times New Roman" w:hAnsi="Times New Roman" w:cs="Times New Roman"/>
          <w:color w:val="auto"/>
          <w:sz w:val="32"/>
          <w:szCs w:val="32"/>
        </w:rPr>
        <w:t>ОБЩИЕ ПОЛОЖЕНИЯ ОБ ОХРАНЕ ЗДОРОВЬЯ И ЛИЧНОЙ ГИГИЕНЕ ЧЕЛОВЕКА</w:t>
      </w:r>
      <w:bookmarkEnd w:id="4"/>
    </w:p>
    <w:p w:rsidR="00893396" w:rsidRDefault="00893396" w:rsidP="00680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Здоровье является важнейшим нематериальным благом, принадлежащим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человеку. Отсутствие этого блага, по существу, сводит к нулю все остальные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материальные и нематериальные блага. Соответственно, право на охрану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здоровья - одно из важнейших социальных прав человека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80DE0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3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здоровья осуществляется с помощью норм различных отраслей права: уголовного, административного, гражданского, трудового, семейного и др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В самом общем виде о праве на здоровье говорится в Конституции</w:t>
      </w:r>
      <w:r w:rsidRPr="00893396">
        <w:rPr>
          <w:color w:val="000000"/>
          <w:sz w:val="28"/>
          <w:szCs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РФ. В соответствии с ч. 2 ст. 7 Конституции РФ в Российской Федерации охраняются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труд и здоровье людей. Речь идет как о пропаганде здорового образа жизни, развитии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физкультуры и спорта и профилактике профессиональных и иных заболеваний, так и о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создании системы лечебных учреждений и оказании в них квалифицированной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медицинской помощи. Кроме того, в ст.41 Конституции РФ сказано, что каждый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имеет право на охрану здоровья и медицинскую помощь.</w:t>
      </w:r>
    </w:p>
    <w:p w:rsidR="00893396" w:rsidRDefault="00893396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Аналогичная норма содержится и в Законе об основах охраны здоровья граждан.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Так, в ст.18 сказано, что каждый имеет право на охрану здоровья. Право на охрану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здоровья обеспечивается охраной окружающей среды, созданием безопасных условий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труда, благоприятных условий труда, быта, отдыха, воспитания и обучения граждан,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производством и реализацией продуктов питания соответствующего качества,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качественных, безопасных и доступных лекарственных препаратов, а также оказанием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доступной и качественной медицинской помощи.</w:t>
      </w:r>
      <w:r>
        <w:rPr>
          <w:color w:val="000000"/>
          <w:sz w:val="28"/>
          <w:szCs w:val="28"/>
        </w:rPr>
        <w:t xml:space="preserve"> 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Следует учитывать то обстоятельство, что охрана здоровья гражданина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осуществляется на двух уровнях: национально - правовом и международно-правовом.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Россия является участницей целого ряда международных договоров и конвенций,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направленных на охрану здоровья. Право на охрану здоровья закреплено в таких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международных документах, как Всеобщая декларация прав человека 1948 г.,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Международный пакт об экономических, социальных и культурных правах, Устав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Всемирной организации здравоохранения и др. Положения международных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соглашений находят свое отражение в Федеральном законе № 323-ФЗ «Об основах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охраны здоровья граждан в Российской Федерации».</w:t>
      </w: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Помимо Федерального закона № 323-ФЗ «Об основах охраны здоровья граждан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 Российской Федерации» законодательство в сфере здоровья включает в себя иные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правовые акты, как на федеральном уровне, так и на уровне субъектов Федерации.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Важное значение имеет Федеральный закон от 29 ноября 2010 г. № 326-ФЗ «Об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обязательном медицинском страховании в Российской Федерации», Федеральный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закон от 30 марта 1999 г. № 52-ФЗ «О санитарно-эпидемиологическом благополучии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населения», Федеральный закон от 8 января 1998 г. № 3-ФЗ «О наркотических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средствах 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 xml:space="preserve">психотропных веществах», Закон РФ от 2 июля 1992 г. № 3185-1 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психиатрической помощи и гарантиях прав</w:t>
      </w:r>
      <w:r>
        <w:rPr>
          <w:rFonts w:ascii="Times New Roman" w:hAnsi="Times New Roman" w:cs="Times New Roman"/>
          <w:color w:val="000000"/>
          <w:sz w:val="28"/>
        </w:rPr>
        <w:t xml:space="preserve"> граждан при ее оказании» и др. </w:t>
      </w:r>
      <w:r w:rsidRPr="00893396">
        <w:rPr>
          <w:rFonts w:ascii="Times New Roman" w:hAnsi="Times New Roman" w:cs="Times New Roman"/>
          <w:color w:val="000000"/>
          <w:sz w:val="28"/>
        </w:rPr>
        <w:t>Однако все</w:t>
      </w:r>
      <w:r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они не должны противоречить Закону об основах охраны здоровья граждан.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Понятие гигиена - чрезвычайно емкое понятие. Оно включает в себя режим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условий труда и отдыха, рациональное питание, соблюдение правил ухода за телом,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применение гигиенических средств и многое другое.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Личная гигиена - это свод правил поведения человека в быту или на</w:t>
      </w:r>
      <w:r w:rsidR="0058074C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производстве. В узком понимании - гигиеническое содержание тела, одежды 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предметов домашнего обихода. Нарушение требований личной гигиены может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негативно сказаться на здоровье не только одного человека, но и больших групп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людей (коллективы, семьи, члены различных сообществ).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Более подробно с правилами личной гигиены можно ознакомиться по ссылке на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официальном сайте ФБУЗ «Центр гигиенического образования населения»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Роспотребнадзора (http://cgon.rospotrebnadzor.ru/content/62/132).</w:t>
      </w:r>
    </w:p>
    <w:p w:rsidR="002D5B25" w:rsidRDefault="002D5B25" w:rsidP="00893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4F41BB" w:rsidRDefault="004F41BB" w:rsidP="00893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893396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106107188"/>
      <w:r w:rsidRPr="002D37C4">
        <w:rPr>
          <w:rFonts w:ascii="Times New Roman" w:hAnsi="Times New Roman" w:cs="Times New Roman"/>
          <w:color w:val="auto"/>
          <w:sz w:val="32"/>
          <w:szCs w:val="32"/>
        </w:rPr>
        <w:t>СОЦИАЛЬНО ЗНАЧИМЫЕ ЗАБОЛЕВАНИЯ И ПРИВИВКИ</w:t>
      </w:r>
      <w:bookmarkEnd w:id="5"/>
    </w:p>
    <w:p w:rsidR="00893396" w:rsidRDefault="00893396" w:rsidP="008933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93396" w:rsidRDefault="00893396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893396">
        <w:rPr>
          <w:rFonts w:ascii="Times New Roman" w:hAnsi="Times New Roman" w:cs="Times New Roman"/>
          <w:color w:val="000000"/>
          <w:sz w:val="28"/>
        </w:rPr>
        <w:t>Согласно статье 43 Федерального закона № 323-ФЗ «Об основах охраны</w:t>
      </w:r>
      <w:r w:rsidRPr="00893396">
        <w:rPr>
          <w:color w:val="000000"/>
          <w:sz w:val="28"/>
          <w:szCs w:val="28"/>
        </w:rPr>
        <w:br/>
      </w:r>
      <w:r w:rsidRPr="00893396">
        <w:rPr>
          <w:rFonts w:ascii="Times New Roman" w:hAnsi="Times New Roman" w:cs="Times New Roman"/>
          <w:color w:val="000000"/>
          <w:sz w:val="28"/>
        </w:rPr>
        <w:t>здоровья граждан в Российской Федерации» гражданам, страдающим социально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значимыми заболеваниями, и гражданам, страдающим заболеваниями,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представляющими опасность для окружающих, оказывается медицинская помощь и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обеспечивается диспансерное наблюдение в соответствующих медицинских</w:t>
      </w:r>
      <w:r w:rsidR="002D5B25">
        <w:rPr>
          <w:color w:val="000000"/>
          <w:sz w:val="28"/>
          <w:szCs w:val="28"/>
        </w:rPr>
        <w:t xml:space="preserve"> </w:t>
      </w:r>
      <w:r w:rsidRPr="00893396">
        <w:rPr>
          <w:rFonts w:ascii="Times New Roman" w:hAnsi="Times New Roman" w:cs="Times New Roman"/>
          <w:color w:val="000000"/>
          <w:sz w:val="28"/>
        </w:rPr>
        <w:t>организациях.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Перечень социально значимых заболеваний и перечень заболеваний,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представляющих опасность для окружающих, утвержден постановлением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</w:rPr>
        <w:t xml:space="preserve"> Российской Федерации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</w:rPr>
        <w:t xml:space="preserve">1 декабря </w:t>
      </w:r>
      <w:r w:rsidRPr="002D5B25">
        <w:rPr>
          <w:rFonts w:ascii="Times New Roman" w:hAnsi="Times New Roman" w:cs="Times New Roman"/>
          <w:color w:val="000000"/>
          <w:sz w:val="28"/>
        </w:rPr>
        <w:t>2004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715 «Об утверждении перечня социально значимых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заболеваний и перечня заболеваний, представляющих опасность для окружающих»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Согласно ст. 35 Федерального закона от 30.03.1999 № 52-ФЗ «О санитарно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2D5B25">
        <w:rPr>
          <w:rFonts w:ascii="Times New Roman" w:hAnsi="Times New Roman" w:cs="Times New Roman"/>
          <w:color w:val="000000"/>
          <w:sz w:val="28"/>
        </w:rPr>
        <w:t>эпидемиологическом благополучии населения»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профилактические прививки проводятся гражданам в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соответствии с законодательством Российской Федерации для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предупреждения возникновения и распространения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заболеваний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Правовые основы государственной политики в области иммунопрофилактики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болезней, осуществляемой в целях охраны здоровья и обеспечения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санитарно-эпидемиологического благополучия населения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установлены Федеральным законом от 17.09.1998 № 157-ФЗ «Об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иммунопрофилактике инфекционных болезней».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 xml:space="preserve">Согласно ч.1 </w:t>
      </w:r>
      <w:r>
        <w:rPr>
          <w:rFonts w:ascii="Times New Roman" w:hAnsi="Times New Roman" w:cs="Times New Roman"/>
          <w:color w:val="000000"/>
          <w:sz w:val="28"/>
        </w:rPr>
        <w:t xml:space="preserve">ст.10 Федерального закона от 17 сентября </w:t>
      </w:r>
      <w:r w:rsidRPr="002D5B25">
        <w:rPr>
          <w:rFonts w:ascii="Times New Roman" w:hAnsi="Times New Roman" w:cs="Times New Roman"/>
          <w:color w:val="000000"/>
          <w:sz w:val="28"/>
        </w:rPr>
        <w:t>1998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157-ФЗ «Об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иммунопрофилактике инфекционных болезней» профилактические прививки по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эпидемическим показаниям проводятся гражданам при угрозе возникновения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инфекционных болезней.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Согласно ч.3 ст.10 Федерального закона № 157-ФЗ</w:t>
      </w:r>
      <w:r>
        <w:rPr>
          <w:rFonts w:ascii="Times New Roman" w:hAnsi="Times New Roman" w:cs="Times New Roman"/>
          <w:color w:val="000000"/>
          <w:sz w:val="28"/>
        </w:rPr>
        <w:t xml:space="preserve"> календарь </w:t>
      </w:r>
      <w:r w:rsidRPr="002D5B25">
        <w:rPr>
          <w:rFonts w:ascii="Times New Roman" w:hAnsi="Times New Roman" w:cs="Times New Roman"/>
          <w:color w:val="000000"/>
          <w:sz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по эпидемическим показаниям, сроки проведения 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и категории граждан, подлежащих обязательной вакцинации, утверждаются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федеральным органом исполнительной власти, осуществляющим функции по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выработке и </w:t>
      </w:r>
      <w:r w:rsidRPr="002D5B25">
        <w:rPr>
          <w:rFonts w:ascii="Times New Roman" w:hAnsi="Times New Roman" w:cs="Times New Roman"/>
          <w:color w:val="000000"/>
          <w:sz w:val="28"/>
        </w:rPr>
        <w:t>реализации государственной политики и нормативно - правовому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регулированию в сфере здравоохранения.</w:t>
      </w:r>
      <w:r>
        <w:rPr>
          <w:color w:val="000000"/>
          <w:sz w:val="28"/>
          <w:szCs w:val="28"/>
        </w:rPr>
        <w:t xml:space="preserve"> 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Медицинские противопоказания к проведению профилактических прививок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препаратами национального календаря прививок, утверждены Главным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госуда</w:t>
      </w:r>
      <w:r>
        <w:rPr>
          <w:rFonts w:ascii="Times New Roman" w:hAnsi="Times New Roman" w:cs="Times New Roman"/>
          <w:color w:val="000000"/>
          <w:sz w:val="28"/>
        </w:rPr>
        <w:t xml:space="preserve">рственным санитарным врачом РФ 9 января </w:t>
      </w:r>
      <w:r w:rsidRPr="002D5B25">
        <w:rPr>
          <w:rFonts w:ascii="Times New Roman" w:hAnsi="Times New Roman" w:cs="Times New Roman"/>
          <w:color w:val="000000"/>
          <w:sz w:val="28"/>
        </w:rPr>
        <w:t>2002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>.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Перечень медицинских противопоказаний к проведению профилактических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прививок против новой коронавирусной инфекции COVID-19, утверждены Приказом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Минздрава России от 13</w:t>
      </w:r>
      <w:r>
        <w:rPr>
          <w:rFonts w:ascii="Times New Roman" w:hAnsi="Times New Roman" w:cs="Times New Roman"/>
          <w:color w:val="000000"/>
          <w:sz w:val="28"/>
        </w:rPr>
        <w:t xml:space="preserve"> января </w:t>
      </w:r>
      <w:r w:rsidRPr="002D5B25">
        <w:rPr>
          <w:rFonts w:ascii="Times New Roman" w:hAnsi="Times New Roman" w:cs="Times New Roman"/>
          <w:color w:val="000000"/>
          <w:sz w:val="28"/>
        </w:rPr>
        <w:t>2022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8н «Об утверждении перечня медицинских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противопоказаний к проведению профилактических прививок против новой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коронавирусной инфекции COVID-19».</w:t>
      </w:r>
    </w:p>
    <w:p w:rsidR="00AC71AB" w:rsidRDefault="00AC71AB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80DE0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106107189"/>
      <w:r w:rsidRPr="002D37C4">
        <w:rPr>
          <w:rFonts w:ascii="Times New Roman" w:hAnsi="Times New Roman" w:cs="Times New Roman"/>
          <w:color w:val="auto"/>
          <w:sz w:val="32"/>
          <w:szCs w:val="32"/>
        </w:rPr>
        <w:t>ЗАКЛЮЧЕНИЕ БРАКА ИНОСТРАННЫМ ГРАЖДАНИНОМ НА ТЕРРИТОРИИ РОССИЙСКОЙ ФЕДЕРАЦИИ</w:t>
      </w:r>
      <w:bookmarkEnd w:id="6"/>
    </w:p>
    <w:p w:rsidR="00680DE0" w:rsidRPr="003340F6" w:rsidRDefault="00680DE0" w:rsidP="0068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Для заключения брака с необходимо подать заявление в органы ЗАГС, регистрирующие брак с иностранными гражданами, в письменной или электронной форме и предъявить необходимые документы.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Вместе с заявлением о заключении брака лица, вступающие в брак, должны предъявить: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документы, удостоверяющие личность каждого из них. Документ, удостоверяющий личность иностранного гражданина, должен быть снабжен заверенным переводом на русский язык;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квитанцию об уплате госпошлины;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"/>
      <w:bookmarkEnd w:id="7"/>
      <w:r w:rsidRPr="00AC71AB">
        <w:rPr>
          <w:rFonts w:ascii="Times New Roman" w:hAnsi="Times New Roman" w:cs="Times New Roman"/>
          <w:sz w:val="28"/>
          <w:szCs w:val="28"/>
        </w:rPr>
        <w:t>документ (справка), выданный компетентным органом иностранного государства, подтверждающий семейное положение гражданина этого государства, желающего заключить брак, и соблюдение установленных условий заключения брака;</w:t>
      </w:r>
    </w:p>
    <w:p w:rsidR="00680DE0" w:rsidRPr="00AC71AB" w:rsidRDefault="00680DE0" w:rsidP="00AC71AB">
      <w:pPr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документ о прекращении предыдущего брака, если один из супругов ранее состоял в браке.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Если иное не установлено международным договором Российской Федерации, все документы о семейном положении иностранца должны быть легализованы и снабжены заверенным переводом на русский язык.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>Перевод документов на русский язык заверяют или консульство (посольство) государства, гражданином которого является будущий супруг, или министерство иностранных дел, или иной компетентный орган этого государства либо нотариус.</w:t>
      </w:r>
    </w:p>
    <w:p w:rsidR="00680DE0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 xml:space="preserve">Следует отметить, что для Российской Федерации вступила в силу Европейская </w:t>
      </w:r>
      <w:hyperlink r:id="rId13" w:history="1">
        <w:r w:rsidRPr="00AC71AB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 от 7 июня 1968 года, которая предусматривает освобождение от консульской легализации документов, составленных сотрудниками дипломатических представительств и консульских учреждений стран - участниц </w:t>
      </w:r>
      <w:hyperlink r:id="rId14" w:history="1">
        <w:r w:rsidRPr="00AC71AB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7C4" w:rsidRPr="00AC71AB" w:rsidRDefault="00680DE0" w:rsidP="00AC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1AB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брак которого с иностранцем зарегистрирован на территории иностранного государства компетентным органом, должен направить по месту своего жительства в орган ЗАГС или консульское учреждение Российской Федерации за пределами Российской Федерации </w:t>
      </w:r>
      <w:hyperlink r:id="rId15" w:history="1">
        <w:r w:rsidRPr="00AC71A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C71AB">
        <w:rPr>
          <w:rFonts w:ascii="Times New Roman" w:hAnsi="Times New Roman" w:cs="Times New Roman"/>
          <w:sz w:val="28"/>
          <w:szCs w:val="28"/>
        </w:rPr>
        <w:t xml:space="preserve"> с приложением документа компетентного органа иностранного государства (копии, электронного образа) и его заверенного перевода на русский язык, а также документа, удостоверяющего личность (копии, электронного образа).</w:t>
      </w:r>
    </w:p>
    <w:p w:rsidR="00680DE0" w:rsidRDefault="00680DE0" w:rsidP="00680DE0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2D5B25" w:rsidRPr="002D37C4" w:rsidRDefault="002D37C4" w:rsidP="002D37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106107190"/>
      <w:r w:rsidRPr="002D37C4">
        <w:rPr>
          <w:rFonts w:ascii="Times New Roman" w:hAnsi="Times New Roman" w:cs="Times New Roman"/>
          <w:color w:val="auto"/>
          <w:sz w:val="32"/>
          <w:szCs w:val="32"/>
        </w:rPr>
        <w:t>ОБЩИЕ ТРЕБОВАНИЯ К ПОВЕДЕНИЮ В ОБЩЕСТВЕННЫХ МЕСТАХ</w:t>
      </w:r>
      <w:bookmarkEnd w:id="8"/>
    </w:p>
    <w:p w:rsidR="002D5B25" w:rsidRDefault="002D5B25" w:rsidP="002D5B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D5B25" w:rsidRDefault="002D5B25" w:rsidP="00AC71AB">
      <w:pPr>
        <w:spacing w:after="0"/>
        <w:ind w:firstLine="567"/>
        <w:jc w:val="both"/>
      </w:pPr>
      <w:r w:rsidRPr="002D5B25">
        <w:rPr>
          <w:rFonts w:ascii="Times New Roman" w:hAnsi="Times New Roman" w:cs="Times New Roman"/>
          <w:color w:val="000000"/>
          <w:sz w:val="28"/>
        </w:rPr>
        <w:t>К общественным местам относятся места значительного скопления граждан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(улицы, площади, парки, стадионы, транспорт), а также любые места, свободные для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доступа неопределенного круга лиц, в которых могут находиться люди (подъезды,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пешеходные переходы, остановки, торговые центры, залы ожидания и др.).</w:t>
      </w:r>
      <w:r>
        <w:t xml:space="preserve"> 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Наиболее важными среди нормативных актов, регламентирующих правила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пребывания людей в общественных местах, можно назвать Федеральный закон от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23</w:t>
      </w:r>
      <w:r>
        <w:rPr>
          <w:rFonts w:ascii="Times New Roman" w:hAnsi="Times New Roman" w:cs="Times New Roman"/>
          <w:color w:val="000000"/>
          <w:sz w:val="28"/>
        </w:rPr>
        <w:t xml:space="preserve"> февраля </w:t>
      </w:r>
      <w:r w:rsidRPr="002D5B25">
        <w:rPr>
          <w:rFonts w:ascii="Times New Roman" w:hAnsi="Times New Roman" w:cs="Times New Roman"/>
          <w:color w:val="000000"/>
          <w:sz w:val="28"/>
        </w:rPr>
        <w:t>2013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 w:rsidRPr="002D5B25">
        <w:rPr>
          <w:rFonts w:ascii="Times New Roman" w:hAnsi="Times New Roman" w:cs="Times New Roman"/>
          <w:color w:val="000000"/>
          <w:sz w:val="28"/>
        </w:rPr>
        <w:t xml:space="preserve"> № 15-ФЗ «Об охране здоровья граждан от воздействия окружающего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табачного дыма и последствий потребления табака», Федеральный закон от 22</w:t>
      </w:r>
      <w:r>
        <w:rPr>
          <w:rFonts w:ascii="Times New Roman" w:hAnsi="Times New Roman" w:cs="Times New Roman"/>
          <w:color w:val="000000"/>
          <w:sz w:val="28"/>
        </w:rPr>
        <w:t xml:space="preserve"> ноября </w:t>
      </w:r>
      <w:r w:rsidRPr="002D5B25">
        <w:rPr>
          <w:rFonts w:ascii="Times New Roman" w:hAnsi="Times New Roman" w:cs="Times New Roman"/>
          <w:color w:val="000000"/>
          <w:sz w:val="28"/>
        </w:rPr>
        <w:t>1995</w:t>
      </w:r>
      <w:r>
        <w:rPr>
          <w:rFonts w:ascii="Times New Roman" w:hAnsi="Times New Roman" w:cs="Times New Roman"/>
          <w:color w:val="000000"/>
          <w:sz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№ 171-ФЗ «О государственном регулировании производства и оборота этилового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спирта, алкогольной и спиртосодержащей продукции и об ограничении потребления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(распития) алкогольной продукции» и Кодекс Российской Федерации об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административных правонарушениях (ст. ст. 6.24, 20.1, 20.20, 20.21, 20.2.2).</w:t>
      </w:r>
    </w:p>
    <w:p w:rsidR="002D5B25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Что касается административных правонарушений, которые не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связаны с употреблением алкоголя или табака в общественных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местах, то наиболее распространенными являются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правонарушения, предусмотренные ч. 1 ст. 20.1 КоАП РФ,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которой установлена </w:t>
      </w:r>
      <w:r w:rsidRPr="002D5B25">
        <w:rPr>
          <w:rFonts w:ascii="Times New Roman" w:hAnsi="Times New Roman" w:cs="Times New Roman"/>
          <w:color w:val="000000"/>
          <w:sz w:val="28"/>
        </w:rPr>
        <w:t>ответственность за мелкое хулиганство, то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есть нарушение общественного порядка, выражающее явное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неуважение к обществу, сопровождающееся нецензурной бранью в общественных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местах, оскорбительным приставанием к гражданам, а равно уничтожением или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повреждением чужого имущества.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Другим достаточно актуальным и распространенным административным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правонарушением является ст. 20.2.2 КоАП РФ, которая устанавливает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ответственность за организацию не являющегося публичным мероприятием массового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одновременного пребывания и (или) передвижения граждан в общественных местах,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публичные призывы к массовому одновременному пребыванию и (или) передвижению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граждан в общественных местах либо участие в массовом одновременном пребывании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 (или) передвижении граждан в общественных местах, если массовое одновременное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пребывание и (или) передвижение граждан в общественных местах повлекли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нарушение общественного порядка или санитарных норм и правил, нарушение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функционирования и сохранности объектов жизнеобеспечения или связи либо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причинение вреда зеленым насаждениям либо создали помехи движению пешеходов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или транспортных средств либо доступу граждан к жилым помещениям или объектам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транспортной или социальной инфраструктуры, за исключением случаев,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предусмотренных ч. 2 и 3 ст. 20.2.2 КоАП РФ, если эти действия не содержат уголовно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наказуемого деяния.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Ключевым здесь является факт создания помех движению пешеходов,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автомобилей или доступу граждан к объектам социальной инфраструктуры,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совершенный в общественном месте.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Для предотвращения воздействия окружающего табачного дыма на здоровье человека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запрещается курение табака, потребление никотинсодержащей продукции или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использование кальянов (за исключением случаев, установленных ч. 2 данной статьи):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1) на территориях и в помещениях, предназначенных для оказания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образовательных услуг, услуг учреждениями культуры и учреждениями органов по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делам молодежи, услуг в области физической культуры и спорта;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2) на территориях и в помещениях, предназначенных для оказания медицинских,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реабилитационных и санаторно-курортных услуг;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3) в поездах дальнего следования, на судах, находящихся в дальнем плавании,</w:t>
      </w:r>
      <w:r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при оказании услуг по перевозкам пассажиров;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4) на воздушных судах, на всех видах общественного транспорта, в местах на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открытом воздухе на расстоянии менее чем пятнадцать метров от входов в помещения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железнодорожных вокзалов, автовокзалов, аэропортов, морских портов, речных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портов, станций метрополитенов, а также на станциях метрополитенов, в помещениях</w:t>
      </w:r>
      <w:r w:rsidR="000857F3">
        <w:rPr>
          <w:color w:val="000000"/>
          <w:sz w:val="28"/>
          <w:szCs w:val="28"/>
        </w:rPr>
        <w:t xml:space="preserve">  </w:t>
      </w:r>
      <w:r w:rsidRPr="002D5B25">
        <w:rPr>
          <w:rFonts w:ascii="Times New Roman" w:hAnsi="Times New Roman" w:cs="Times New Roman"/>
          <w:color w:val="000000"/>
          <w:sz w:val="28"/>
        </w:rPr>
        <w:t>железнодорожных вокзалов, автовокзалов, аэропортов, морских портов, речных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портов, предназначенных для оказания услуг по перевозкам пассажиров;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5) в помещениях, предназначенных для предоставления жилищных услуг,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гостиничных услуг, услуг по временному размещению и (или) обеспечению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временного проживания;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6) в помещениях, предназначенных для предоставления бытовых услуг, услуг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торговли, общественного питания, помещениях рынков, в нестационарных торговых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объектах;</w:t>
      </w:r>
    </w:p>
    <w:p w:rsidR="000857F3" w:rsidRDefault="002D5B25" w:rsidP="00AC71AB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7) в помещениях социальных служб;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8) в помещениях, занятых органами государственной власти, органами местного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самоуправления;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9) на рабочих местах и в рабочих зонах, организованных в помещениях;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10) в лифтах и помещениях общего пользования многоквартирных домов,</w:t>
      </w:r>
      <w:r w:rsidR="000857F3">
        <w:rPr>
          <w:rFonts w:ascii="Times New Roman" w:hAnsi="Times New Roman" w:cs="Times New Roman"/>
          <w:color w:val="000000"/>
          <w:sz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помещениях, составляющих общее имущество собственников комнат в коммунальных</w:t>
      </w:r>
      <w:r w:rsidR="000857F3">
        <w:rPr>
          <w:color w:val="000000"/>
          <w:sz w:val="28"/>
          <w:szCs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квартирах;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11) на детских площадках и в границах территорий, занятых пляжами;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12) на пассажирских платформах, используемых исключительно для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посадки в поезда, высадки из поездов пассажиров при их перевозках в</w:t>
      </w:r>
      <w:r w:rsidRPr="002D5B25">
        <w:rPr>
          <w:color w:val="000000"/>
          <w:sz w:val="28"/>
          <w:szCs w:val="28"/>
        </w:rPr>
        <w:br/>
      </w:r>
      <w:r w:rsidRPr="002D5B25">
        <w:rPr>
          <w:rFonts w:ascii="Times New Roman" w:hAnsi="Times New Roman" w:cs="Times New Roman"/>
          <w:color w:val="000000"/>
          <w:sz w:val="28"/>
        </w:rPr>
        <w:t>пригородном сообщении;</w:t>
      </w:r>
    </w:p>
    <w:p w:rsidR="000857F3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13) на автозаправочных станциях;</w:t>
      </w:r>
    </w:p>
    <w:p w:rsidR="002D5B25" w:rsidRDefault="002D5B25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D5B25">
        <w:rPr>
          <w:rFonts w:ascii="Times New Roman" w:hAnsi="Times New Roman" w:cs="Times New Roman"/>
          <w:color w:val="000000"/>
          <w:sz w:val="28"/>
        </w:rPr>
        <w:t>14) в помещениях, предназначенных для предоставления услуг общественного</w:t>
      </w:r>
      <w:r w:rsidR="000857F3">
        <w:rPr>
          <w:rFonts w:ascii="Times New Roman" w:hAnsi="Times New Roman" w:cs="Times New Roman"/>
          <w:color w:val="000000"/>
          <w:sz w:val="28"/>
        </w:rPr>
        <w:t xml:space="preserve"> </w:t>
      </w:r>
      <w:r w:rsidRPr="002D5B25">
        <w:rPr>
          <w:rFonts w:ascii="Times New Roman" w:hAnsi="Times New Roman" w:cs="Times New Roman"/>
          <w:color w:val="000000"/>
          <w:sz w:val="28"/>
        </w:rPr>
        <w:t>питания.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Часть 1 ст. 6.24 КоАП РФ устанавливает ответственность за нарушение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установленного федеральным законом запрета курения табака, потребления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никотинсодержащей продукции или использования кальянов на отдельных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территориях в виде административного штрафа на граждан в размере от пятисот до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одной тысячи пятисот рублей, а нарушение установленного федеральным законом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запрета курения табака, потребления никотинсодержащей продукции или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использования кальянов на детских площадках влечет наложение административного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штрафа на граждан в размере от двух тысяч до трех тысяч рублей (ч. 2 ст. 6.24 КоАП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РФ)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Не менее важное значение имеет Федера</w:t>
      </w:r>
      <w:r>
        <w:rPr>
          <w:rFonts w:ascii="Times New Roman" w:hAnsi="Times New Roman" w:cs="Times New Roman"/>
          <w:color w:val="000000"/>
          <w:sz w:val="28"/>
        </w:rPr>
        <w:t>льный закон от 22 ноября 1995 года № 171-</w:t>
      </w:r>
      <w:r w:rsidRPr="000857F3">
        <w:rPr>
          <w:rFonts w:ascii="Times New Roman" w:hAnsi="Times New Roman" w:cs="Times New Roman"/>
          <w:color w:val="000000"/>
          <w:sz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«О государственном регулировании производства и оборота этилового спирта,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алкогольной и спиртосодержащей продукции и об ограничении потребления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(распития) алкогольной продукции».</w:t>
      </w:r>
    </w:p>
    <w:p w:rsidR="000857F3" w:rsidRDefault="000857F3" w:rsidP="00AC7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Соответственно, с Федеральным законом № 171-ФЗ корреспондирует норма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ч. 1 ст. 20.20 КоАП РФ, устанавливающая ответственность за потребление (распитие)</w:t>
      </w:r>
      <w:r>
        <w:rPr>
          <w:color w:val="000000"/>
          <w:sz w:val="28"/>
          <w:szCs w:val="28"/>
        </w:rPr>
        <w:t xml:space="preserve"> </w:t>
      </w:r>
      <w:r w:rsidRPr="000857F3">
        <w:rPr>
          <w:rFonts w:ascii="Times New Roman" w:hAnsi="Times New Roman" w:cs="Times New Roman"/>
          <w:color w:val="000000"/>
          <w:sz w:val="28"/>
        </w:rPr>
        <w:t>алкогольной п</w:t>
      </w:r>
      <w:r>
        <w:rPr>
          <w:rFonts w:ascii="Times New Roman" w:hAnsi="Times New Roman" w:cs="Times New Roman"/>
          <w:color w:val="000000"/>
          <w:sz w:val="28"/>
        </w:rPr>
        <w:t>родукции в местах, запрещенных Ф</w:t>
      </w:r>
      <w:r w:rsidRPr="000857F3">
        <w:rPr>
          <w:rFonts w:ascii="Times New Roman" w:hAnsi="Times New Roman" w:cs="Times New Roman"/>
          <w:color w:val="000000"/>
          <w:sz w:val="28"/>
        </w:rPr>
        <w:t>едеральным законом.</w:t>
      </w:r>
    </w:p>
    <w:p w:rsidR="000857F3" w:rsidRDefault="000857F3" w:rsidP="002D5B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F25C8E" w:rsidRDefault="00F25C8E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F9158A" w:rsidRPr="00F9158A" w:rsidRDefault="00F9158A" w:rsidP="00F9158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106107191"/>
      <w:r>
        <w:rPr>
          <w:rFonts w:ascii="Times New Roman" w:hAnsi="Times New Roman" w:cs="Times New Roman"/>
          <w:color w:val="auto"/>
          <w:sz w:val="32"/>
          <w:szCs w:val="32"/>
        </w:rPr>
        <w:t xml:space="preserve">ТЕЛЕФОНЫ ЭКСТРЕННЫХ СЛУЖБ, </w:t>
      </w:r>
      <w:r>
        <w:rPr>
          <w:rFonts w:ascii="Times New Roman" w:hAnsi="Times New Roman" w:cs="Times New Roman"/>
          <w:color w:val="auto"/>
          <w:sz w:val="32"/>
          <w:szCs w:val="32"/>
        </w:rPr>
        <w:br/>
        <w:t>К</w:t>
      </w:r>
      <w:r w:rsidRPr="00F9158A">
        <w:rPr>
          <w:rFonts w:ascii="Times New Roman" w:hAnsi="Times New Roman" w:cs="Times New Roman"/>
          <w:color w:val="auto"/>
          <w:sz w:val="32"/>
          <w:szCs w:val="32"/>
        </w:rPr>
        <w:t>ОНТАКТНЫЕ ДАННЫЕ УЧРЕЖДЕНИЙ</w:t>
      </w:r>
      <w:bookmarkEnd w:id="9"/>
    </w:p>
    <w:p w:rsidR="00FA2B60" w:rsidRDefault="00FA2B60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 w:rsidRPr="000857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Телефоны экстренных служб</w:t>
      </w:r>
    </w:p>
    <w:p w:rsidR="000857F3" w:rsidRDefault="000857F3" w:rsidP="000857F3">
      <w:pPr>
        <w:spacing w:after="0"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0857F3">
        <w:rPr>
          <w:rFonts w:ascii="Times New Roman" w:hAnsi="Times New Roman" w:cs="Times New Roman"/>
          <w:color w:val="000000"/>
          <w:sz w:val="28"/>
        </w:rPr>
        <w:t>Номера экстренных служб доступны в любой момент времени, даже при</w:t>
      </w:r>
      <w:r w:rsidRPr="000857F3">
        <w:rPr>
          <w:color w:val="000000"/>
          <w:sz w:val="28"/>
          <w:szCs w:val="28"/>
        </w:rPr>
        <w:br/>
      </w:r>
      <w:r w:rsidRPr="000857F3">
        <w:rPr>
          <w:rFonts w:ascii="Times New Roman" w:hAnsi="Times New Roman" w:cs="Times New Roman"/>
          <w:color w:val="000000"/>
          <w:sz w:val="28"/>
        </w:rPr>
        <w:t>финансовой блокировке услуг: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112 – Единый номер экстренных служб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101 – Пожарная служба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102 – Полиция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103 – Скорая помощь</w:t>
      </w:r>
    </w:p>
    <w:p w:rsidR="000857F3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104 – Служба газа</w:t>
      </w:r>
    </w:p>
    <w:p w:rsidR="000857F3" w:rsidRPr="002D5B25" w:rsidRDefault="000857F3" w:rsidP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857F3">
        <w:rPr>
          <w:rFonts w:ascii="Times New Roman" w:hAnsi="Times New Roman" w:cs="Times New Roman"/>
          <w:b/>
          <w:bCs/>
          <w:color w:val="000000"/>
          <w:sz w:val="28"/>
        </w:rPr>
        <w:t>100 – Служба точного времени</w:t>
      </w:r>
    </w:p>
    <w:p w:rsidR="000857F3" w:rsidRDefault="000857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0857F3" w:rsidRDefault="000857F3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857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Контактные данные учреждений</w:t>
      </w:r>
    </w:p>
    <w:p w:rsidR="000857F3" w:rsidRDefault="000857F3" w:rsidP="00085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уполномоченной организации, осуществляющей оформление патента на работу</w:t>
      </w: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683"/>
      </w:tblGrid>
      <w:tr w:rsidR="000857F3" w:rsidRPr="000857F3" w:rsidTr="00F41E30">
        <w:trPr>
          <w:trHeight w:val="72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«Паспортно-визовый сервис» МВД России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B63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66400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7, г. Иркутск,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Декабрьских Событий</w:t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Контактные данные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трудовой инспекции</w:t>
      </w:r>
    </w:p>
    <w:p w:rsidR="00B632BF" w:rsidRDefault="00B632BF" w:rsidP="00B632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683"/>
      </w:tblGrid>
      <w:tr w:rsidR="00B632BF" w:rsidRPr="000857F3" w:rsidTr="00F41E30">
        <w:trPr>
          <w:trHeight w:val="728"/>
        </w:trPr>
        <w:tc>
          <w:tcPr>
            <w:tcW w:w="3076" w:type="pct"/>
            <w:vAlign w:val="center"/>
            <w:hideMark/>
          </w:tcPr>
          <w:p w:rsidR="00B632BF" w:rsidRPr="000857F3" w:rsidRDefault="00B632BF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Иркутской области</w:t>
            </w:r>
          </w:p>
        </w:tc>
        <w:tc>
          <w:tcPr>
            <w:tcW w:w="1924" w:type="pct"/>
            <w:vAlign w:val="center"/>
            <w:hideMark/>
          </w:tcPr>
          <w:p w:rsidR="00B632BF" w:rsidRPr="00B632BF" w:rsidRDefault="00B632BF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4007, г"/>
              </w:smartTagPr>
              <w:r w:rsidRPr="00B632BF">
                <w:rPr>
                  <w:rFonts w:ascii="Times New Roman" w:hAnsi="Times New Roman" w:cs="Times New Roman"/>
                  <w:sz w:val="24"/>
                  <w:szCs w:val="24"/>
                </w:rPr>
                <w:t>664007, г</w:t>
              </w:r>
            </w:smartTag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. Иркутск, ул. Софьи Перовской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BF">
              <w:rPr>
                <w:rFonts w:ascii="Times New Roman" w:hAnsi="Times New Roman" w:cs="Times New Roman"/>
                <w:sz w:val="24"/>
                <w:szCs w:val="24"/>
              </w:rPr>
              <w:t>45-85-03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32BF" w:rsidRDefault="00B632BF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57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Контактные данные территориальных органов МВД 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оссии</w:t>
      </w:r>
    </w:p>
    <w:p w:rsidR="000857F3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3683"/>
      </w:tblGrid>
      <w:tr w:rsidR="000857F3" w:rsidRPr="000857F3" w:rsidTr="000857F3">
        <w:trPr>
          <w:trHeight w:val="606"/>
          <w:tblHeader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территориального подразделения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Адрес, телефон</w:t>
            </w:r>
          </w:p>
        </w:tc>
      </w:tr>
      <w:tr w:rsidR="000857F3" w:rsidRPr="000857F3" w:rsidTr="000857F3">
        <w:trPr>
          <w:trHeight w:val="1101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1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(Правобережный округ)</w:t>
            </w:r>
          </w:p>
        </w:tc>
        <w:tc>
          <w:tcPr>
            <w:tcW w:w="1924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664035, г. Иркутск, ул. Николаева, 5,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77-87-95</w:t>
            </w:r>
          </w:p>
        </w:tc>
      </w:tr>
      <w:tr w:rsidR="000857F3" w:rsidRPr="000857F3" w:rsidTr="000857F3">
        <w:trPr>
          <w:trHeight w:val="72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№ 2 Отдела по вопросам миграции МУ МВД России «Иркутское»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(Октябрьский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664047, г. Иркутск, ул. Красных Мадьяр, 80,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25-10-21</w:t>
            </w:r>
          </w:p>
        </w:tc>
      </w:tr>
      <w:tr w:rsidR="000857F3" w:rsidRPr="000857F3" w:rsidTr="000857F3">
        <w:trPr>
          <w:trHeight w:val="1065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3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(Свердловский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664056, г. Иркутск, ул. Академическая, 70,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42-32-62</w:t>
            </w:r>
          </w:p>
        </w:tc>
      </w:tr>
      <w:tr w:rsidR="000857F3" w:rsidRPr="000857F3" w:rsidTr="000857F3">
        <w:trPr>
          <w:trHeight w:val="840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4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(Ленинский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664014, г. Иркутск, ул. Трактовая, 35,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(3952) 28-01-47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МУ МВД России «Братское»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665708, г. Братск, ул. Подбельского, 33а,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(3953) 46-98-22</w:t>
            </w:r>
          </w:p>
        </w:tc>
      </w:tr>
      <w:tr w:rsidR="000857F3" w:rsidRPr="000857F3" w:rsidTr="000857F3">
        <w:trPr>
          <w:trHeight w:val="1258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«Зиминский»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665390, г. Зима, ул. Подаюрова, 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(39554) 3-28-07</w:t>
            </w:r>
          </w:p>
        </w:tc>
      </w:tr>
      <w:tr w:rsidR="000857F3" w:rsidRPr="000857F3" w:rsidTr="000857F3">
        <w:trPr>
          <w:trHeight w:val="374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отдела полиции (дислокация г. Саянск) МО МВД России «Зиминский»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OLE_LINK1"/>
            <w:bookmarkStart w:id="11" w:name="OLE_LINK2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666305, г. Саянск, мкр. Октябрьский, 1</w:t>
            </w:r>
            <w:bookmarkEnd w:id="10"/>
            <w:bookmarkEnd w:id="11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(39553) 7-23-16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665413, г. Черемхово, ул. Плеханова, 34, </w:t>
            </w:r>
            <w:r w:rsidR="00B63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«Тулунский»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665253, г. Тулун, ул. Суворова,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(39530) 4-70-11</w:t>
            </w:r>
          </w:p>
        </w:tc>
      </w:tr>
      <w:tr w:rsidR="000857F3" w:rsidRPr="000857F3" w:rsidTr="00B632BF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«Усольский»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665459, г. Усолье-Сибирское, ул. Сеченова, 22,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(39543) 6-81-85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«Усть-Илимский»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666681, г. Усть-Илимск, пр-т Мира, 24,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(39535) 5-69-75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Плеханова, 34,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УМВД России по Ангарскому городскому округу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665826, г. Ангарск, мкр. 12, 21,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(3955) 69-25-50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полиции-2 (дислокация п. Кутулик)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669451, п. Кутулик, ул. 40 лет Победы, 33,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(39564) 3-72-61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пункта полиции (дислокация пгт. Балаганск)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666391, п. Балаганск, ул. Кольцевая, 59,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(39548) 5-03-47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с. Баяндай) МО МВД России «Эхирит-Булагатский»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669121, с. Баяндай, ул. Бутунаева, 4а,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(39537) 9-11-39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«Бодайбинский»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666904, г. Бодайбо, ул. Карла Либкнехта, 61,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(39561) 5-18-05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«Боханский»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669110, п. Бохан, ул. Инкижинова,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(39538) 2-57-97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МУ МВД России «Братское»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665708, г. Братск, ул. Подбельского, 33а,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(3953) 46-98-22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отделения полиции (дислокация р.п. Жигалово) МО МВД России «Качугский»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666402, п. Жигалово, пер. Комсомольский,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(39551) 3-15-43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666322, п. Залари, ул. Ленина, 12,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(39552) 2-21-38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МО МВД России «Зиминский»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665390, г. Зима, ул. Подаюрова, 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(39554) 3-28-07</w:t>
            </w:r>
          </w:p>
        </w:tc>
      </w:tr>
      <w:tr w:rsidR="000857F3" w:rsidRPr="000857F3" w:rsidTr="000857F3">
        <w:trPr>
          <w:trHeight w:val="495"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1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(Правобережный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664035, г. Иркутск, ул. Николаева, 5,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77-87-95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№ 2 Отдела по вопросам миграции МУ МВД России «Иркутское»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(Октябрьский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664047, г. Иркутск, ул. Красных Мадьяр, 80,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25-10-21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3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(Свердловский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664056, г. Иркутск, ул. Академическая, 70,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(3952) 42-32-62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4 Отдела по вопросам миграции МУ МВД России «Иркутское» </w:t>
            </w:r>
          </w:p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(Ленинский округ)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664014, г. Иркутск, ул. Трактовая, 35, тел. 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(3952) 28-01-47</w:t>
            </w:r>
          </w:p>
        </w:tc>
      </w:tr>
      <w:tr w:rsidR="000857F3" w:rsidRPr="000857F3" w:rsidTr="000857F3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р.п. Магистральный) МО МВД России «Усть-Кутский»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666504, п. Магистральный, мкр. 2, 2 –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(39562) 4-17-50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«Качугский»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666203, п. Качуг, ул. Каландарашвили, 27а,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(39540) 3-14-02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пункта полиции (дислокация с. Ербогачен) МО МВД России «Киренский»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666611, с. Ербогачен, ул. Советская,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(39560) 2-15-58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МО МВД России «Киренский»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666703, г. Киренск, ул. Декабристов,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(39568) 4-40-13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4"/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</w:t>
            </w:r>
            <w:hyperlink r:id="rId16" w:tooltip="Отдел полиции (дислокация пгт Куйтун) МО МВД России &quot;Тулунский&quot;" w:history="1">
              <w:r w:rsidRPr="000857F3">
                <w:rPr>
                  <w:rFonts w:ascii="Times New Roman" w:hAnsi="Times New Roman" w:cs="Times New Roman"/>
                  <w:sz w:val="24"/>
                  <w:szCs w:val="24"/>
                </w:rPr>
                <w:t>отдела полиции (дислокация п. Куйтун) МО МВД России «Тулунский</w:t>
              </w:r>
            </w:hyperlink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2"/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665301, п. Куйтун, ул. Тургенева, 1 а.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(39536) 5-25-70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п. Мама) МО МВД России «Бодайбинский»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666811, п. Мама, ул. Победы, 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(39569) 2-15-72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ОМВД России по Нижнеилимскому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665564, г. Железногорск-Илимский, квартал 6а, 10,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(39566) 3-37-32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Нижнеудинскому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665106, г. Нижнеудинск, ул. Ленина, 47,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(39557) 7-15-04</w:t>
            </w:r>
          </w:p>
        </w:tc>
      </w:tr>
      <w:tr w:rsidR="000857F3" w:rsidRPr="000857F3" w:rsidTr="000857F3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 (дислокация п. Новонукутский) МО МВД России «Заларинский»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669401, п. Новонукутский, ул. Ленина, 20,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(39549) 2-11-95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с. Еланцы) МО МВД России «Эхирит-Булагатский»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666130, с. Еланцы, ул. Советская, 8,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(39558) 5-29-83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Миграционный пункт отдела полиции (дислокация п. Оса) МО МВД России «Боханский»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669200, п. Оса, ул. Свердлова, 51,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(39539) 3-24-12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ОМВД России по Слюдянскому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665904, г. Слюдянка, ул. Кутелева, 53,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(39544) 5-21-25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Тайшетскому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665009, г. Тайшет, мкр. Новый,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(39563) 2-33-21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МО МВД России «Тулунский»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665253, г. Тулун, ул. Суворова,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(39530) 4-70-11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«Усольский»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665459, г. Усолье-Сибирское, ул. Сеченова, 22,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(39543) 6-81-85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«Усть-Илимский»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666681, г. Усть-Илимск, пр-т Мира, 24,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(39535) 5-69-75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МО МВД России «Усть-Кутский»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666784, г. Усть-Кут, ул. Кирова, 93а,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(39565) 5-12-19</w:t>
            </w:r>
          </w:p>
        </w:tc>
      </w:tr>
      <w:tr w:rsidR="000857F3" w:rsidRPr="000857F3" w:rsidTr="00F25C8E">
        <w:trPr>
          <w:cantSplit/>
        </w:trPr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отдела полиции (дислокация р.п. Усть-Уда) МО МВД России «Боханский»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666352, п. Усть-Уда, ул. Ленина, 2,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(39545) 3-15-79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миграции МО МВД России «Черемховский»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Плеханова, 34,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(39546) 5-55-30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вопросам миграции ОМВД России по Чунскому району 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665544, п. Чунский, ул. Ленина, 39,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(39567) 2-20-86</w:t>
            </w:r>
          </w:p>
        </w:tc>
      </w:tr>
      <w:tr w:rsidR="000857F3" w:rsidRPr="000857F3" w:rsidTr="000857F3">
        <w:tc>
          <w:tcPr>
            <w:tcW w:w="3076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Отдел по вопросам миграции ОМВД России по Шелеховскому району</w:t>
            </w:r>
          </w:p>
        </w:tc>
        <w:tc>
          <w:tcPr>
            <w:tcW w:w="1924" w:type="pct"/>
            <w:vAlign w:val="center"/>
            <w:hideMark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sz w:val="24"/>
                <w:szCs w:val="24"/>
              </w:rPr>
              <w:t>666034, г. Шелехов, квартал 7, 13, тел.</w:t>
            </w: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(39550) 4-38-66</w:t>
            </w:r>
          </w:p>
        </w:tc>
      </w:tr>
      <w:tr w:rsidR="000857F3" w:rsidRPr="000857F3" w:rsidTr="000857F3">
        <w:tc>
          <w:tcPr>
            <w:tcW w:w="3076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 вопросам миграции МО МВД России «Эхирит-Булагатский»</w:t>
            </w:r>
          </w:p>
        </w:tc>
        <w:tc>
          <w:tcPr>
            <w:tcW w:w="1924" w:type="pct"/>
            <w:vAlign w:val="center"/>
          </w:tcPr>
          <w:p w:rsidR="000857F3" w:rsidRPr="000857F3" w:rsidRDefault="000857F3" w:rsidP="00F4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7F3">
              <w:rPr>
                <w:rFonts w:ascii="Times New Roman" w:hAnsi="Times New Roman" w:cs="Times New Roman"/>
                <w:bCs/>
                <w:sz w:val="24"/>
                <w:szCs w:val="24"/>
              </w:rPr>
              <w:t>669001, п. Усть-Ордынский, ул. 50 лет Октября, 44, тел. (39541) 3-04-15</w:t>
            </w:r>
          </w:p>
        </w:tc>
      </w:tr>
    </w:tbl>
    <w:p w:rsidR="000857F3" w:rsidRPr="002D5B25" w:rsidRDefault="000857F3" w:rsidP="000857F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sectPr w:rsidR="000857F3" w:rsidRPr="002D5B25" w:rsidSect="002D37C4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A3" w:rsidRDefault="005E76A3" w:rsidP="002D37C4">
      <w:pPr>
        <w:spacing w:after="0" w:line="240" w:lineRule="auto"/>
      </w:pPr>
      <w:r>
        <w:separator/>
      </w:r>
    </w:p>
  </w:endnote>
  <w:endnote w:type="continuationSeparator" w:id="0">
    <w:p w:rsidR="005E76A3" w:rsidRDefault="005E76A3" w:rsidP="002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A3" w:rsidRDefault="005E76A3" w:rsidP="002D37C4">
      <w:pPr>
        <w:spacing w:after="0" w:line="240" w:lineRule="auto"/>
      </w:pPr>
      <w:r>
        <w:separator/>
      </w:r>
    </w:p>
  </w:footnote>
  <w:footnote w:type="continuationSeparator" w:id="0">
    <w:p w:rsidR="005E76A3" w:rsidRDefault="005E76A3" w:rsidP="002D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696"/>
      <w:docPartObj>
        <w:docPartGallery w:val="Page Numbers (Top of Page)"/>
        <w:docPartUnique/>
      </w:docPartObj>
    </w:sdtPr>
    <w:sdtEndPr/>
    <w:sdtContent>
      <w:p w:rsidR="002D37C4" w:rsidRDefault="005E76A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7C4" w:rsidRDefault="002D37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54AB7D4A"/>
    <w:multiLevelType w:val="hybridMultilevel"/>
    <w:tmpl w:val="47E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5475"/>
    <w:multiLevelType w:val="singleLevel"/>
    <w:tmpl w:val="CBE4A35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6A53A5"/>
    <w:multiLevelType w:val="hybridMultilevel"/>
    <w:tmpl w:val="47E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351BD"/>
    <w:multiLevelType w:val="hybridMultilevel"/>
    <w:tmpl w:val="1294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A7"/>
    <w:rsid w:val="00040F5E"/>
    <w:rsid w:val="000857F3"/>
    <w:rsid w:val="00093EA7"/>
    <w:rsid w:val="000D4B2E"/>
    <w:rsid w:val="00153B25"/>
    <w:rsid w:val="001E66A0"/>
    <w:rsid w:val="00212B2F"/>
    <w:rsid w:val="002536EA"/>
    <w:rsid w:val="002D37C4"/>
    <w:rsid w:val="002D5B25"/>
    <w:rsid w:val="003217FE"/>
    <w:rsid w:val="003340F6"/>
    <w:rsid w:val="0042602F"/>
    <w:rsid w:val="004A57BE"/>
    <w:rsid w:val="004C79DC"/>
    <w:rsid w:val="004F41BB"/>
    <w:rsid w:val="0058074C"/>
    <w:rsid w:val="005E76A3"/>
    <w:rsid w:val="00680DE0"/>
    <w:rsid w:val="006A2E58"/>
    <w:rsid w:val="00723B38"/>
    <w:rsid w:val="00751A97"/>
    <w:rsid w:val="0079494D"/>
    <w:rsid w:val="007C1C04"/>
    <w:rsid w:val="00804E3D"/>
    <w:rsid w:val="00893396"/>
    <w:rsid w:val="008A516C"/>
    <w:rsid w:val="008F0E84"/>
    <w:rsid w:val="00950BD4"/>
    <w:rsid w:val="009B6B51"/>
    <w:rsid w:val="009C7B7F"/>
    <w:rsid w:val="00A236DC"/>
    <w:rsid w:val="00A33695"/>
    <w:rsid w:val="00A978CD"/>
    <w:rsid w:val="00AB47E9"/>
    <w:rsid w:val="00AB4EE6"/>
    <w:rsid w:val="00AC71AB"/>
    <w:rsid w:val="00B632BF"/>
    <w:rsid w:val="00C90E20"/>
    <w:rsid w:val="00D3144F"/>
    <w:rsid w:val="00D8711D"/>
    <w:rsid w:val="00DA3F39"/>
    <w:rsid w:val="00DF1D49"/>
    <w:rsid w:val="00E641B9"/>
    <w:rsid w:val="00EF3E97"/>
    <w:rsid w:val="00F0240E"/>
    <w:rsid w:val="00F2360A"/>
    <w:rsid w:val="00F25C8E"/>
    <w:rsid w:val="00F579E5"/>
    <w:rsid w:val="00F57D65"/>
    <w:rsid w:val="00F8245D"/>
    <w:rsid w:val="00F9158A"/>
    <w:rsid w:val="00FA2B60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CA7F96-544B-4DC7-9BBC-3D8D50E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95"/>
  </w:style>
  <w:style w:type="paragraph" w:styleId="1">
    <w:name w:val="heading 1"/>
    <w:basedOn w:val="a"/>
    <w:next w:val="a"/>
    <w:link w:val="10"/>
    <w:uiPriority w:val="9"/>
    <w:qFormat/>
    <w:rsid w:val="002D3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A7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093EA7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871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11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3340F6"/>
    <w:rPr>
      <w:color w:val="0000FF"/>
      <w:u w:val="single"/>
    </w:rPr>
  </w:style>
  <w:style w:type="character" w:customStyle="1" w:styleId="a5">
    <w:name w:val="Обычный (веб) Знак"/>
    <w:aliases w:val="Обычный (Web) Знак"/>
    <w:link w:val="a4"/>
    <w:rsid w:val="003340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7C4"/>
  </w:style>
  <w:style w:type="paragraph" w:styleId="a9">
    <w:name w:val="footer"/>
    <w:basedOn w:val="a"/>
    <w:link w:val="aa"/>
    <w:uiPriority w:val="99"/>
    <w:semiHidden/>
    <w:unhideWhenUsed/>
    <w:rsid w:val="002D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7C4"/>
  </w:style>
  <w:style w:type="paragraph" w:styleId="ab">
    <w:name w:val="TOC Heading"/>
    <w:basedOn w:val="1"/>
    <w:next w:val="a"/>
    <w:uiPriority w:val="39"/>
    <w:semiHidden/>
    <w:unhideWhenUsed/>
    <w:qFormat/>
    <w:rsid w:val="002D37C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D37C4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2D37C4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2D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AEC7C27D5457BF9EF2ADB39EF505608BC21153D7EED4CC29875DF2C4D8B49A13CE5BBB10B1620A68A7D99FBaEG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uitun.irkobl.ru/ats_kuytun_district_informs_t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EC7C27D5457BF9EF2ADE36EC505608BE23163471E611C8902CD32E4A8416A43BF4BBB00A0820A19574CDA8A80218422739B37962090DF9a5G0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AAEC7C27D5457BF9EF2ADB39EF505608BC21153D7EED4CC29875DF2C4D8B49A13CE5BBB10B1620A68A7D99FBaE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02003-8D7D-4852-91A7-E7A966D4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a.dugushin</dc:creator>
  <cp:lastModifiedBy>Дмитриенко Екатериина Владимировна</cp:lastModifiedBy>
  <cp:revision>3</cp:revision>
  <dcterms:created xsi:type="dcterms:W3CDTF">2025-02-07T02:46:00Z</dcterms:created>
  <dcterms:modified xsi:type="dcterms:W3CDTF">2025-02-07T02:46:00Z</dcterms:modified>
</cp:coreProperties>
</file>