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623BFD">
        <w:rPr>
          <w:sz w:val="28"/>
          <w:szCs w:val="28"/>
        </w:rPr>
        <w:t>92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23BFD">
        <w:rPr>
          <w:sz w:val="28"/>
          <w:szCs w:val="28"/>
        </w:rPr>
        <w:t>Косоусова</w:t>
      </w:r>
      <w:proofErr w:type="spellEnd"/>
      <w:r w:rsidR="00623BFD">
        <w:rPr>
          <w:sz w:val="28"/>
          <w:szCs w:val="28"/>
        </w:rPr>
        <w:t xml:space="preserve"> Гузель </w:t>
      </w:r>
      <w:proofErr w:type="spellStart"/>
      <w:r w:rsidR="00623BFD">
        <w:rPr>
          <w:sz w:val="28"/>
          <w:szCs w:val="28"/>
        </w:rPr>
        <w:t>Филатовна</w:t>
      </w:r>
      <w:proofErr w:type="spellEnd"/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623BFD">
        <w:rPr>
          <w:sz w:val="28"/>
          <w:szCs w:val="28"/>
        </w:rPr>
        <w:t>Косоусовой</w:t>
      </w:r>
      <w:proofErr w:type="spellEnd"/>
      <w:r w:rsidR="00623BFD">
        <w:rPr>
          <w:sz w:val="28"/>
          <w:szCs w:val="28"/>
        </w:rPr>
        <w:t xml:space="preserve"> Гузели </w:t>
      </w:r>
      <w:proofErr w:type="spellStart"/>
      <w:r w:rsidR="00623BFD">
        <w:rPr>
          <w:sz w:val="28"/>
          <w:szCs w:val="28"/>
        </w:rPr>
        <w:t>Филатовны</w:t>
      </w:r>
      <w:proofErr w:type="spellEnd"/>
      <w:r w:rsidR="00623BFD">
        <w:rPr>
          <w:sz w:val="28"/>
          <w:szCs w:val="28"/>
        </w:rPr>
        <w:t xml:space="preserve">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33ACC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23BF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26742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2024-07-24T06:08:00Z</cp:lastPrinted>
  <dcterms:created xsi:type="dcterms:W3CDTF">2024-02-06T04:07:00Z</dcterms:created>
  <dcterms:modified xsi:type="dcterms:W3CDTF">2024-07-25T07:49:00Z</dcterms:modified>
</cp:coreProperties>
</file>