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5188"/>
        <w:gridCol w:w="4129"/>
      </w:tblGrid>
      <w:tr>
        <w:trPr>
          <w:trHeight w:val="1767" w:hRule="atLeast"/>
        </w:trPr>
        <w:tc>
          <w:tcPr>
            <w:tcW w:w="10162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before="138"/>
              <w:ind w:left="1450" w:right="1453"/>
              <w:rPr>
                <w:b/>
                <w:sz w:val="28"/>
              </w:rPr>
            </w:pPr>
            <w:bookmarkStart w:name="C:\Users\rasenets.y\Desktop\Сервитут Так" w:id="1"/>
            <w:bookmarkEnd w:id="1"/>
            <w:r>
              <w:rPr/>
            </w:r>
            <w:r>
              <w:rPr>
                <w:b/>
                <w:spacing w:val="-3"/>
                <w:sz w:val="28"/>
              </w:rPr>
              <w:t>ОПИСАНИЕ МЕСТОПОЛОЖЕНИЯ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ГРАНИЦ</w:t>
            </w:r>
          </w:p>
          <w:p>
            <w:pPr>
              <w:pStyle w:val="TableParagraph"/>
              <w:spacing w:line="270" w:lineRule="exact" w:before="145"/>
              <w:ind w:left="39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Публичный сервитут</w:t>
            </w:r>
          </w:p>
          <w:p>
            <w:pPr>
              <w:pStyle w:val="TableParagraph"/>
              <w:spacing w:line="235" w:lineRule="auto"/>
              <w:ind w:left="337" w:right="554" w:firstLine="5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для обеспечения строительства, реконструкции объектов инфраструктуры при реализации объекта «Второй главный путь на перегоне Таковка – Небель с</w:t>
            </w:r>
          </w:p>
          <w:p>
            <w:pPr>
              <w:pStyle w:val="TableParagraph"/>
              <w:spacing w:line="266" w:lineRule="exact"/>
              <w:ind w:left="3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закрытием разъезда Нарьянга Восточно-Сибирской железной дороги»</w:t>
            </w:r>
          </w:p>
        </w:tc>
      </w:tr>
      <w:tr>
        <w:trPr>
          <w:trHeight w:val="336" w:hRule="atLeast"/>
        </w:trPr>
        <w:tc>
          <w:tcPr>
            <w:tcW w:w="10162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line="221" w:lineRule="exact"/>
              <w:ind w:left="1459" w:right="1453"/>
              <w:rPr>
                <w:sz w:val="20"/>
              </w:rPr>
            </w:pPr>
            <w:r>
              <w:rPr>
                <w:sz w:val="20"/>
              </w:rPr>
              <w:t>(наименование объекта, местоположение границ которого описано (далее - объект))</w:t>
            </w:r>
          </w:p>
        </w:tc>
      </w:tr>
      <w:tr>
        <w:trPr>
          <w:trHeight w:val="429" w:hRule="atLeast"/>
        </w:trPr>
        <w:tc>
          <w:tcPr>
            <w:tcW w:w="10162" w:type="dxa"/>
            <w:gridSpan w:val="3"/>
          </w:tcPr>
          <w:p>
            <w:pPr>
              <w:pStyle w:val="TableParagraph"/>
              <w:spacing w:before="49"/>
              <w:ind w:left="1459" w:right="145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</w:t>
            </w:r>
          </w:p>
        </w:tc>
      </w:tr>
      <w:tr>
        <w:trPr>
          <w:trHeight w:val="443" w:hRule="atLeast"/>
        </w:trPr>
        <w:tc>
          <w:tcPr>
            <w:tcW w:w="10162" w:type="dxa"/>
            <w:gridSpan w:val="3"/>
          </w:tcPr>
          <w:p>
            <w:pPr>
              <w:pStyle w:val="TableParagraph"/>
              <w:spacing w:before="54"/>
              <w:ind w:left="1459" w:right="1450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 об объекте</w:t>
            </w:r>
          </w:p>
        </w:tc>
      </w:tr>
      <w:tr>
        <w:trPr>
          <w:trHeight w:val="431" w:hRule="atLeast"/>
        </w:trPr>
        <w:tc>
          <w:tcPr>
            <w:tcW w:w="845" w:type="dxa"/>
          </w:tcPr>
          <w:p>
            <w:pPr>
              <w:pStyle w:val="TableParagraph"/>
              <w:spacing w:before="86"/>
              <w:ind w:left="105"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5188" w:type="dxa"/>
          </w:tcPr>
          <w:p>
            <w:pPr>
              <w:pStyle w:val="TableParagraph"/>
              <w:spacing w:before="86"/>
              <w:ind w:left="135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Характеристики объекта</w:t>
            </w:r>
          </w:p>
        </w:tc>
        <w:tc>
          <w:tcPr>
            <w:tcW w:w="4129" w:type="dxa"/>
          </w:tcPr>
          <w:p>
            <w:pPr>
              <w:pStyle w:val="TableParagraph"/>
              <w:spacing w:before="86"/>
              <w:ind w:left="8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 характеристик</w:t>
            </w:r>
          </w:p>
        </w:tc>
      </w:tr>
      <w:tr>
        <w:trPr>
          <w:trHeight w:val="328" w:hRule="atLeast"/>
        </w:trPr>
        <w:tc>
          <w:tcPr>
            <w:tcW w:w="845" w:type="dxa"/>
          </w:tcPr>
          <w:p>
            <w:pPr>
              <w:pStyle w:val="TableParagraph"/>
              <w:spacing w:before="33"/>
              <w:ind w:left="1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5188" w:type="dxa"/>
          </w:tcPr>
          <w:p>
            <w:pPr>
              <w:pStyle w:val="TableParagraph"/>
              <w:spacing w:before="33"/>
              <w:ind w:left="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129" w:type="dxa"/>
          </w:tcPr>
          <w:p>
            <w:pPr>
              <w:pStyle w:val="TableParagraph"/>
              <w:spacing w:before="33"/>
              <w:ind w:left="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845" w:type="dxa"/>
          </w:tcPr>
          <w:p>
            <w:pPr>
              <w:pStyle w:val="TableParagraph"/>
              <w:spacing w:before="81"/>
              <w:ind w:left="105" w:right="93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188" w:type="dxa"/>
          </w:tcPr>
          <w:p>
            <w:pPr>
              <w:pStyle w:val="TableParagraph"/>
              <w:spacing w:before="81"/>
              <w:ind w:left="71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 объекта</w:t>
            </w:r>
          </w:p>
        </w:tc>
        <w:tc>
          <w:tcPr>
            <w:tcW w:w="4129" w:type="dxa"/>
          </w:tcPr>
          <w:p>
            <w:pPr>
              <w:pStyle w:val="TableParagraph"/>
              <w:spacing w:before="71"/>
              <w:ind w:left="124"/>
              <w:jc w:val="left"/>
              <w:rPr>
                <w:sz w:val="22"/>
              </w:rPr>
            </w:pPr>
            <w:r>
              <w:rPr>
                <w:sz w:val="22"/>
              </w:rPr>
              <w:t>Иркутская область, район Усть</w:t>
            </w:r>
            <w:r>
              <w:rPr>
                <w:position w:val="1"/>
                <w:sz w:val="22"/>
              </w:rPr>
              <w:t>-Кутский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spacing w:before="200"/>
              <w:ind w:left="105" w:right="93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188" w:type="dxa"/>
          </w:tcPr>
          <w:p>
            <w:pPr>
              <w:pStyle w:val="TableParagraph"/>
              <w:spacing w:line="248" w:lineRule="exact" w:before="80"/>
              <w:ind w:left="71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+/- величина</w:t>
            </w:r>
          </w:p>
          <w:p>
            <w:pPr>
              <w:pStyle w:val="TableParagraph"/>
              <w:spacing w:line="248" w:lineRule="exact"/>
              <w:ind w:left="71"/>
              <w:jc w:val="left"/>
              <w:rPr>
                <w:sz w:val="22"/>
              </w:rPr>
            </w:pPr>
            <w:r>
              <w:rPr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9" w:type="dxa"/>
          </w:tcPr>
          <w:p>
            <w:pPr>
              <w:pStyle w:val="TableParagraph"/>
              <w:spacing w:before="193"/>
              <w:ind w:left="78"/>
              <w:jc w:val="left"/>
              <w:rPr>
                <w:sz w:val="22"/>
              </w:rPr>
            </w:pPr>
            <w:r>
              <w:rPr>
                <w:sz w:val="22"/>
              </w:rPr>
              <w:t>76 +/- 47 м²</w:t>
            </w:r>
          </w:p>
        </w:tc>
      </w:tr>
      <w:tr>
        <w:trPr>
          <w:trHeight w:val="555" w:hRule="atLeast"/>
        </w:trPr>
        <w:tc>
          <w:tcPr>
            <w:tcW w:w="845" w:type="dxa"/>
          </w:tcPr>
          <w:p>
            <w:pPr>
              <w:pStyle w:val="TableParagraph"/>
              <w:spacing w:before="143"/>
              <w:ind w:left="105" w:right="93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188" w:type="dxa"/>
          </w:tcPr>
          <w:p>
            <w:pPr>
              <w:pStyle w:val="TableParagraph"/>
              <w:spacing w:before="143"/>
              <w:ind w:left="71"/>
              <w:jc w:val="left"/>
              <w:rPr>
                <w:sz w:val="22"/>
              </w:rPr>
            </w:pPr>
            <w:r>
              <w:rPr>
                <w:sz w:val="22"/>
              </w:rPr>
              <w:t>Иные характеристики объекта</w:t>
            </w:r>
          </w:p>
        </w:tc>
        <w:tc>
          <w:tcPr>
            <w:tcW w:w="4129" w:type="dxa"/>
          </w:tcPr>
          <w:p>
            <w:pPr>
              <w:pStyle w:val="TableParagraph"/>
              <w:spacing w:before="16"/>
              <w:ind w:left="78"/>
              <w:jc w:val="left"/>
              <w:rPr>
                <w:sz w:val="22"/>
              </w:rPr>
            </w:pPr>
            <w:r>
              <w:rPr>
                <w:sz w:val="22"/>
              </w:rPr>
              <w:t>Публичный сервитут сроком на 22месяцев</w:t>
            </w:r>
          </w:p>
        </w:tc>
      </w:tr>
      <w:tr>
        <w:trPr>
          <w:trHeight w:val="9380" w:hRule="atLeast"/>
        </w:trPr>
        <w:tc>
          <w:tcPr>
            <w:tcW w:w="10162" w:type="dxa"/>
            <w:gridSpan w:val="3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1910" w:h="16840"/>
          <w:pgMar w:top="680" w:bottom="280" w:left="820" w:right="420"/>
        </w:sect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6"/>
        <w:gridCol w:w="1347"/>
        <w:gridCol w:w="1364"/>
        <w:gridCol w:w="1863"/>
        <w:gridCol w:w="1749"/>
        <w:gridCol w:w="1806"/>
      </w:tblGrid>
      <w:tr>
        <w:trPr>
          <w:trHeight w:val="546" w:hRule="atLeast"/>
        </w:trPr>
        <w:tc>
          <w:tcPr>
            <w:tcW w:w="1016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2219" w:right="221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</w:t>
            </w:r>
          </w:p>
        </w:tc>
      </w:tr>
      <w:tr>
        <w:trPr>
          <w:trHeight w:val="563" w:hRule="atLeast"/>
        </w:trPr>
        <w:tc>
          <w:tcPr>
            <w:tcW w:w="1016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2219" w:right="2212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 о местоположении границ объекта</w:t>
            </w:r>
          </w:p>
        </w:tc>
      </w:tr>
      <w:tr>
        <w:trPr>
          <w:trHeight w:val="428" w:hRule="atLeast"/>
        </w:trPr>
        <w:tc>
          <w:tcPr>
            <w:tcW w:w="10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72"/>
              <w:jc w:val="left"/>
              <w:rPr>
                <w:sz w:val="22"/>
              </w:rPr>
            </w:pPr>
            <w:r>
              <w:rPr>
                <w:sz w:val="22"/>
              </w:rPr>
              <w:t>1. Система координат МСК 38, зона 4</w:t>
            </w:r>
          </w:p>
        </w:tc>
      </w:tr>
      <w:tr>
        <w:trPr>
          <w:trHeight w:val="330" w:hRule="atLeast"/>
        </w:trPr>
        <w:tc>
          <w:tcPr>
            <w:tcW w:w="10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72"/>
              <w:jc w:val="left"/>
              <w:rPr>
                <w:sz w:val="22"/>
              </w:rPr>
            </w:pPr>
            <w:r>
              <w:rPr>
                <w:sz w:val="22"/>
              </w:rPr>
              <w:t>2. Сведения о характерных точках границ объекта</w:t>
            </w:r>
          </w:p>
        </w:tc>
      </w:tr>
      <w:tr>
        <w:trPr>
          <w:trHeight w:val="772" w:hRule="atLeast"/>
        </w:trPr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35"/>
              </w:rPr>
            </w:pPr>
          </w:p>
          <w:p>
            <w:pPr>
              <w:pStyle w:val="TableParagraph"/>
              <w:spacing w:line="230" w:lineRule="auto"/>
              <w:ind w:left="67" w:right="52" w:firstLine="3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Обозначение характерных </w:t>
            </w:r>
            <w:r>
              <w:rPr>
                <w:b/>
                <w:spacing w:val="-6"/>
                <w:sz w:val="22"/>
              </w:rPr>
              <w:t>точек </w:t>
            </w:r>
            <w:r>
              <w:rPr>
                <w:b/>
                <w:spacing w:val="-3"/>
                <w:sz w:val="22"/>
              </w:rPr>
              <w:t>границ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60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Координаты, м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169"/>
              <w:ind w:left="305" w:right="295" w:firstLine="1"/>
              <w:rPr>
                <w:b/>
                <w:sz w:val="22"/>
              </w:rPr>
            </w:pPr>
            <w:r>
              <w:rPr>
                <w:b/>
                <w:sz w:val="22"/>
              </w:rPr>
              <w:t>Метод </w:t>
            </w:r>
            <w:r>
              <w:rPr>
                <w:b/>
                <w:spacing w:val="-3"/>
                <w:sz w:val="22"/>
              </w:rPr>
              <w:t>определения координат характерной точки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47"/>
              <w:ind w:left="77" w:right="71" w:firstLine="4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Средняя квадратическая погрешность положения характерной точки </w:t>
            </w:r>
            <w:r>
              <w:rPr>
                <w:b/>
                <w:sz w:val="22"/>
              </w:rPr>
              <w:t>(Мt), м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169"/>
              <w:ind w:left="148" w:right="141" w:hanging="3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Описание обозначения точки </w:t>
            </w:r>
            <w:r>
              <w:rPr>
                <w:b/>
                <w:sz w:val="22"/>
              </w:rPr>
              <w:t>на </w:t>
            </w:r>
            <w:r>
              <w:rPr>
                <w:b/>
                <w:spacing w:val="-3"/>
                <w:sz w:val="22"/>
              </w:rPr>
              <w:t>местности </w:t>
            </w:r>
            <w:r>
              <w:rPr>
                <w:b/>
                <w:spacing w:val="-6"/>
                <w:sz w:val="22"/>
              </w:rPr>
              <w:t>(при </w:t>
            </w:r>
            <w:r>
              <w:rPr>
                <w:b/>
                <w:spacing w:val="-3"/>
                <w:sz w:val="22"/>
              </w:rPr>
              <w:t>наличии)</w:t>
            </w:r>
          </w:p>
        </w:tc>
      </w:tr>
      <w:tr>
        <w:trPr>
          <w:trHeight w:val="772" w:hRule="atLeast"/>
        </w:trPr>
        <w:tc>
          <w:tcPr>
            <w:tcW w:w="20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ind w:left="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ind w:left="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18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874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</w:tr>
      <w:tr>
        <w:trPr>
          <w:trHeight w:val="314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89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10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72"/>
              <w:jc w:val="left"/>
              <w:rPr>
                <w:sz w:val="22"/>
              </w:rPr>
            </w:pPr>
            <w:r>
              <w:rPr>
                <w:sz w:val="22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772" w:hRule="atLeast"/>
        </w:trPr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35"/>
              </w:rPr>
            </w:pPr>
          </w:p>
          <w:p>
            <w:pPr>
              <w:pStyle w:val="TableParagraph"/>
              <w:spacing w:line="230" w:lineRule="auto"/>
              <w:ind w:left="67" w:right="52" w:firstLine="3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Обозначение характерных </w:t>
            </w:r>
            <w:r>
              <w:rPr>
                <w:b/>
                <w:spacing w:val="-6"/>
                <w:sz w:val="22"/>
              </w:rPr>
              <w:t>точек </w:t>
            </w:r>
            <w:r>
              <w:rPr>
                <w:b/>
                <w:spacing w:val="-3"/>
                <w:sz w:val="22"/>
              </w:rPr>
              <w:t>части границы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60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Координаты, м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169"/>
              <w:ind w:left="305" w:right="295" w:firstLine="1"/>
              <w:rPr>
                <w:b/>
                <w:sz w:val="22"/>
              </w:rPr>
            </w:pPr>
            <w:r>
              <w:rPr>
                <w:b/>
                <w:sz w:val="22"/>
              </w:rPr>
              <w:t>Метод </w:t>
            </w:r>
            <w:r>
              <w:rPr>
                <w:b/>
                <w:spacing w:val="-3"/>
                <w:sz w:val="22"/>
              </w:rPr>
              <w:t>определения координат характерной точки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49"/>
              <w:ind w:left="77" w:right="71" w:firstLine="4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Средняя квадратическая погрешность положения характерной точки </w:t>
            </w:r>
            <w:r>
              <w:rPr>
                <w:b/>
                <w:sz w:val="22"/>
              </w:rPr>
              <w:t>(Мt), м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169"/>
              <w:ind w:left="148" w:right="141" w:hanging="3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Описание обозначения точки </w:t>
            </w:r>
            <w:r>
              <w:rPr>
                <w:b/>
                <w:sz w:val="22"/>
              </w:rPr>
              <w:t>на </w:t>
            </w:r>
            <w:r>
              <w:rPr>
                <w:b/>
                <w:spacing w:val="-3"/>
                <w:sz w:val="22"/>
              </w:rPr>
              <w:t>местности </w:t>
            </w:r>
            <w:r>
              <w:rPr>
                <w:b/>
                <w:spacing w:val="-6"/>
                <w:sz w:val="22"/>
              </w:rPr>
              <w:t>(при </w:t>
            </w:r>
            <w:r>
              <w:rPr>
                <w:b/>
                <w:spacing w:val="-3"/>
                <w:sz w:val="22"/>
              </w:rPr>
              <w:t>наличии)</w:t>
            </w:r>
          </w:p>
        </w:tc>
      </w:tr>
      <w:tr>
        <w:trPr>
          <w:trHeight w:val="774" w:hRule="atLeast"/>
        </w:trPr>
        <w:tc>
          <w:tcPr>
            <w:tcW w:w="20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ind w:left="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ind w:left="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18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874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</w:tr>
      <w:tr>
        <w:trPr>
          <w:trHeight w:val="313" w:hRule="atLeast"/>
        </w:trPr>
        <w:tc>
          <w:tcPr>
            <w:tcW w:w="10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6"/>
              <w:jc w:val="left"/>
              <w:rPr>
                <w:sz w:val="22"/>
              </w:rPr>
            </w:pPr>
            <w:r>
              <w:rPr>
                <w:sz w:val="22"/>
              </w:rPr>
              <w:t>Контур 1, площадью 52 кв.м.</w:t>
            </w:r>
          </w:p>
        </w:tc>
      </w:tr>
      <w:tr>
        <w:trPr>
          <w:trHeight w:val="486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85" w:right="172"/>
              <w:rPr>
                <w:sz w:val="22"/>
              </w:rPr>
            </w:pPr>
            <w:r>
              <w:rPr>
                <w:sz w:val="22"/>
              </w:rPr>
              <w:t>846857.16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36" w:right="128"/>
              <w:rPr>
                <w:sz w:val="22"/>
              </w:rPr>
            </w:pPr>
            <w:r>
              <w:rPr>
                <w:sz w:val="22"/>
              </w:rPr>
              <w:t>4300729.19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3" w:right="15"/>
              <w:rPr>
                <w:sz w:val="22"/>
              </w:rPr>
            </w:pPr>
            <w:r>
              <w:rPr>
                <w:sz w:val="22"/>
              </w:rPr>
              <w:t>Картометрический</w:t>
            </w:r>
          </w:p>
          <w:p>
            <w:pPr>
              <w:pStyle w:val="TableParagraph"/>
              <w:spacing w:line="236" w:lineRule="exact"/>
              <w:ind w:left="23" w:right="13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711" w:right="70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7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85" w:right="172"/>
              <w:rPr>
                <w:sz w:val="22"/>
              </w:rPr>
            </w:pPr>
            <w:r>
              <w:rPr>
                <w:sz w:val="22"/>
              </w:rPr>
              <w:t>846868.39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36" w:right="128"/>
              <w:rPr>
                <w:sz w:val="22"/>
              </w:rPr>
            </w:pPr>
            <w:r>
              <w:rPr>
                <w:sz w:val="22"/>
              </w:rPr>
              <w:t>4300739.55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3" w:right="15"/>
              <w:rPr>
                <w:sz w:val="22"/>
              </w:rPr>
            </w:pPr>
            <w:r>
              <w:rPr>
                <w:sz w:val="22"/>
              </w:rPr>
              <w:t>Картометрический</w:t>
            </w:r>
          </w:p>
          <w:p>
            <w:pPr>
              <w:pStyle w:val="TableParagraph"/>
              <w:spacing w:line="236" w:lineRule="exact"/>
              <w:ind w:left="23" w:right="13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711" w:right="70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1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85" w:right="172"/>
              <w:rPr>
                <w:sz w:val="22"/>
              </w:rPr>
            </w:pPr>
            <w:r>
              <w:rPr>
                <w:sz w:val="22"/>
              </w:rPr>
              <w:t>846866.13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36" w:right="128"/>
              <w:rPr>
                <w:sz w:val="22"/>
              </w:rPr>
            </w:pPr>
            <w:r>
              <w:rPr>
                <w:sz w:val="22"/>
              </w:rPr>
              <w:t>4300742.08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3" w:right="15"/>
              <w:rPr>
                <w:sz w:val="22"/>
              </w:rPr>
            </w:pPr>
            <w:r>
              <w:rPr>
                <w:sz w:val="22"/>
              </w:rPr>
              <w:t>Картометрический</w:t>
            </w:r>
          </w:p>
          <w:p>
            <w:pPr>
              <w:pStyle w:val="TableParagraph"/>
              <w:spacing w:line="223" w:lineRule="exact"/>
              <w:ind w:left="23" w:right="13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711" w:right="70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7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85" w:right="172"/>
              <w:rPr>
                <w:sz w:val="22"/>
              </w:rPr>
            </w:pPr>
            <w:r>
              <w:rPr>
                <w:sz w:val="22"/>
              </w:rPr>
              <w:t>846854.84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36" w:right="128"/>
              <w:rPr>
                <w:sz w:val="22"/>
              </w:rPr>
            </w:pPr>
            <w:r>
              <w:rPr>
                <w:sz w:val="22"/>
              </w:rPr>
              <w:t>4300731.68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3" w:right="15"/>
              <w:rPr>
                <w:sz w:val="22"/>
              </w:rPr>
            </w:pPr>
            <w:r>
              <w:rPr>
                <w:sz w:val="22"/>
              </w:rPr>
              <w:t>Картометрический</w:t>
            </w:r>
          </w:p>
          <w:p>
            <w:pPr>
              <w:pStyle w:val="TableParagraph"/>
              <w:spacing w:line="236" w:lineRule="exact"/>
              <w:ind w:left="23" w:right="13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711" w:right="70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/>
              <w:ind w:left="185" w:right="172"/>
              <w:rPr>
                <w:sz w:val="22"/>
              </w:rPr>
            </w:pPr>
            <w:r>
              <w:rPr>
                <w:sz w:val="22"/>
              </w:rPr>
              <w:t>846857.16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/>
              <w:ind w:left="136" w:right="128"/>
              <w:rPr>
                <w:sz w:val="22"/>
              </w:rPr>
            </w:pPr>
            <w:r>
              <w:rPr>
                <w:sz w:val="22"/>
              </w:rPr>
              <w:t>4300729.19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3" w:right="15"/>
              <w:rPr>
                <w:sz w:val="22"/>
              </w:rPr>
            </w:pPr>
            <w:r>
              <w:rPr>
                <w:sz w:val="22"/>
              </w:rPr>
              <w:t>Картометрический</w:t>
            </w:r>
          </w:p>
          <w:p>
            <w:pPr>
              <w:pStyle w:val="TableParagraph"/>
              <w:spacing w:line="236" w:lineRule="exact"/>
              <w:ind w:left="23" w:right="13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/>
              <w:ind w:left="711" w:right="70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10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6"/>
              <w:jc w:val="left"/>
              <w:rPr>
                <w:sz w:val="22"/>
              </w:rPr>
            </w:pPr>
            <w:r>
              <w:rPr>
                <w:sz w:val="22"/>
              </w:rPr>
              <w:t>Контур 2, площадью 24 кв.м.</w:t>
            </w:r>
          </w:p>
        </w:tc>
      </w:tr>
      <w:tr>
        <w:trPr>
          <w:trHeight w:val="488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85" w:right="172"/>
              <w:rPr>
                <w:sz w:val="22"/>
              </w:rPr>
            </w:pPr>
            <w:r>
              <w:rPr>
                <w:sz w:val="22"/>
              </w:rPr>
              <w:t>846416.36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36" w:right="128"/>
              <w:rPr>
                <w:sz w:val="22"/>
              </w:rPr>
            </w:pPr>
            <w:r>
              <w:rPr>
                <w:sz w:val="22"/>
              </w:rPr>
              <w:t>4301562.24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3" w:right="15"/>
              <w:rPr>
                <w:sz w:val="22"/>
              </w:rPr>
            </w:pPr>
            <w:r>
              <w:rPr>
                <w:sz w:val="22"/>
              </w:rPr>
              <w:t>Картометрический</w:t>
            </w:r>
          </w:p>
          <w:p>
            <w:pPr>
              <w:pStyle w:val="TableParagraph"/>
              <w:spacing w:line="238" w:lineRule="exact"/>
              <w:ind w:left="23" w:right="13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711" w:right="70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4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185" w:right="172"/>
              <w:rPr>
                <w:sz w:val="22"/>
              </w:rPr>
            </w:pPr>
            <w:r>
              <w:rPr>
                <w:sz w:val="22"/>
              </w:rPr>
              <w:t>846416.10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136" w:right="128"/>
              <w:rPr>
                <w:sz w:val="22"/>
              </w:rPr>
            </w:pPr>
            <w:r>
              <w:rPr>
                <w:sz w:val="22"/>
              </w:rPr>
              <w:t>4301564.87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3" w:right="15"/>
              <w:rPr>
                <w:sz w:val="22"/>
              </w:rPr>
            </w:pPr>
            <w:r>
              <w:rPr>
                <w:sz w:val="22"/>
              </w:rPr>
              <w:t>Картометрический</w:t>
            </w:r>
          </w:p>
          <w:p>
            <w:pPr>
              <w:pStyle w:val="TableParagraph"/>
              <w:spacing w:line="235" w:lineRule="exact"/>
              <w:ind w:left="23" w:right="13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711" w:right="70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185" w:right="172"/>
              <w:rPr>
                <w:sz w:val="22"/>
              </w:rPr>
            </w:pPr>
            <w:r>
              <w:rPr>
                <w:sz w:val="22"/>
              </w:rPr>
              <w:t>846407.24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136" w:right="128"/>
              <w:rPr>
                <w:sz w:val="22"/>
              </w:rPr>
            </w:pPr>
            <w:r>
              <w:rPr>
                <w:sz w:val="22"/>
              </w:rPr>
              <w:t>4301563.33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23" w:right="15"/>
              <w:rPr>
                <w:sz w:val="22"/>
              </w:rPr>
            </w:pPr>
            <w:r>
              <w:rPr>
                <w:sz w:val="22"/>
              </w:rPr>
              <w:t>Картометрический</w:t>
            </w:r>
          </w:p>
          <w:p>
            <w:pPr>
              <w:pStyle w:val="TableParagraph"/>
              <w:spacing w:line="223" w:lineRule="exact"/>
              <w:ind w:left="23" w:right="13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711" w:right="70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85" w:right="172"/>
              <w:rPr>
                <w:sz w:val="22"/>
              </w:rPr>
            </w:pPr>
            <w:r>
              <w:rPr>
                <w:sz w:val="22"/>
              </w:rPr>
              <w:t>846407.48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36" w:right="128"/>
              <w:rPr>
                <w:sz w:val="22"/>
              </w:rPr>
            </w:pPr>
            <w:r>
              <w:rPr>
                <w:sz w:val="22"/>
              </w:rPr>
              <w:t>4301560.72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3" w:right="15"/>
              <w:rPr>
                <w:sz w:val="22"/>
              </w:rPr>
            </w:pPr>
            <w:r>
              <w:rPr>
                <w:sz w:val="22"/>
              </w:rPr>
              <w:t>Картометрический</w:t>
            </w:r>
          </w:p>
          <w:p>
            <w:pPr>
              <w:pStyle w:val="TableParagraph"/>
              <w:spacing w:line="236" w:lineRule="exact"/>
              <w:ind w:left="23" w:right="13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711" w:right="70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85" w:right="172"/>
              <w:rPr>
                <w:sz w:val="22"/>
              </w:rPr>
            </w:pPr>
            <w:r>
              <w:rPr>
                <w:sz w:val="22"/>
              </w:rPr>
              <w:t>846416.36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36" w:right="128"/>
              <w:rPr>
                <w:sz w:val="22"/>
              </w:rPr>
            </w:pPr>
            <w:r>
              <w:rPr>
                <w:sz w:val="22"/>
              </w:rPr>
              <w:t>4301562.24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3" w:right="15"/>
              <w:rPr>
                <w:sz w:val="22"/>
              </w:rPr>
            </w:pPr>
            <w:r>
              <w:rPr>
                <w:sz w:val="22"/>
              </w:rPr>
              <w:t>Картометрический</w:t>
            </w:r>
          </w:p>
          <w:p>
            <w:pPr>
              <w:pStyle w:val="TableParagraph"/>
              <w:spacing w:line="235" w:lineRule="exact"/>
              <w:ind w:left="23" w:right="13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711" w:right="707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023" w:hRule="atLeast"/>
        </w:trPr>
        <w:tc>
          <w:tcPr>
            <w:tcW w:w="101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720" w:bottom="280" w:left="820" w:right="420"/>
        </w:sectPr>
      </w:pPr>
    </w:p>
    <w:tbl>
      <w:tblPr>
        <w:tblW w:w="0" w:type="auto"/>
        <w:jc w:val="left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075"/>
        <w:gridCol w:w="1076"/>
        <w:gridCol w:w="1075"/>
        <w:gridCol w:w="1017"/>
        <w:gridCol w:w="1516"/>
        <w:gridCol w:w="1692"/>
        <w:gridCol w:w="1303"/>
      </w:tblGrid>
      <w:tr>
        <w:trPr>
          <w:trHeight w:val="543" w:hRule="atLeast"/>
        </w:trPr>
        <w:tc>
          <w:tcPr>
            <w:tcW w:w="10158" w:type="dxa"/>
            <w:gridSpan w:val="8"/>
            <w:tcBorders>
              <w:bottom w:val="single" w:sz="2" w:space="0" w:color="000000"/>
            </w:tcBorders>
          </w:tcPr>
          <w:p>
            <w:pPr>
              <w:pStyle w:val="TableParagraph"/>
              <w:spacing w:before="98"/>
              <w:ind w:left="4532" w:right="45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</w:t>
            </w:r>
          </w:p>
        </w:tc>
      </w:tr>
      <w:tr>
        <w:trPr>
          <w:trHeight w:val="567" w:hRule="atLeast"/>
        </w:trPr>
        <w:tc>
          <w:tcPr>
            <w:tcW w:w="10158" w:type="dxa"/>
            <w:gridSpan w:val="8"/>
            <w:tcBorders>
              <w:top w:val="single" w:sz="2" w:space="0" w:color="000000"/>
            </w:tcBorders>
          </w:tcPr>
          <w:p>
            <w:pPr>
              <w:pStyle w:val="TableParagraph"/>
              <w:spacing w:before="85"/>
              <w:ind w:left="5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428" w:hRule="atLeast"/>
        </w:trPr>
        <w:tc>
          <w:tcPr>
            <w:tcW w:w="10158" w:type="dxa"/>
            <w:gridSpan w:val="8"/>
          </w:tcPr>
          <w:p>
            <w:pPr>
              <w:pStyle w:val="TableParagraph"/>
              <w:spacing w:before="77"/>
              <w:ind w:left="72"/>
              <w:jc w:val="left"/>
              <w:rPr>
                <w:sz w:val="22"/>
              </w:rPr>
            </w:pPr>
            <w:r>
              <w:rPr>
                <w:sz w:val="22"/>
              </w:rPr>
              <w:t>1. Система координат -</w:t>
            </w:r>
          </w:p>
        </w:tc>
      </w:tr>
      <w:tr>
        <w:trPr>
          <w:trHeight w:val="330" w:hRule="atLeast"/>
        </w:trPr>
        <w:tc>
          <w:tcPr>
            <w:tcW w:w="10158" w:type="dxa"/>
            <w:gridSpan w:val="8"/>
          </w:tcPr>
          <w:p>
            <w:pPr>
              <w:pStyle w:val="TableParagraph"/>
              <w:spacing w:before="26"/>
              <w:ind w:left="72"/>
              <w:jc w:val="left"/>
              <w:rPr>
                <w:sz w:val="22"/>
              </w:rPr>
            </w:pPr>
            <w:r>
              <w:rPr>
                <w:sz w:val="22"/>
              </w:rPr>
              <w:t>2. Сведения о характерных точках границ объекта</w:t>
            </w:r>
          </w:p>
        </w:tc>
      </w:tr>
      <w:tr>
        <w:trPr>
          <w:trHeight w:val="772" w:hRule="atLeast"/>
        </w:trPr>
        <w:tc>
          <w:tcPr>
            <w:tcW w:w="1404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35"/>
              </w:rPr>
            </w:pPr>
          </w:p>
          <w:p>
            <w:pPr>
              <w:pStyle w:val="TableParagraph"/>
              <w:spacing w:line="230" w:lineRule="auto" w:before="1"/>
              <w:ind w:left="47" w:right="29" w:firstLine="19"/>
              <w:jc w:val="both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Обозначение характерных точек </w:t>
            </w:r>
            <w:r>
              <w:rPr>
                <w:b/>
                <w:spacing w:val="-6"/>
                <w:sz w:val="22"/>
              </w:rPr>
              <w:t>границ</w:t>
            </w:r>
          </w:p>
        </w:tc>
        <w:tc>
          <w:tcPr>
            <w:tcW w:w="2151" w:type="dxa"/>
            <w:gridSpan w:val="2"/>
          </w:tcPr>
          <w:p>
            <w:pPr>
              <w:pStyle w:val="TableParagraph"/>
              <w:spacing w:line="230" w:lineRule="auto" w:before="138"/>
              <w:ind w:left="345" w:hanging="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</w:tcPr>
          <w:p>
            <w:pPr>
              <w:pStyle w:val="TableParagraph"/>
              <w:spacing w:line="230" w:lineRule="auto" w:before="18"/>
              <w:ind w:left="314" w:right="302" w:firstLine="112"/>
              <w:jc w:val="both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Измененные (уточненные) координаты, </w:t>
            </w:r>
            <w:r>
              <w:rPr>
                <w:b/>
                <w:spacing w:val="-13"/>
                <w:sz w:val="22"/>
              </w:rPr>
              <w:t>м</w:t>
            </w:r>
          </w:p>
        </w:tc>
        <w:tc>
          <w:tcPr>
            <w:tcW w:w="1516" w:type="dxa"/>
            <w:vMerge w:val="restart"/>
          </w:tcPr>
          <w:p>
            <w:pPr>
              <w:pStyle w:val="TableParagraph"/>
              <w:spacing w:line="230" w:lineRule="auto" w:before="169"/>
              <w:ind w:left="109"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Метод определения координат характерной точки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line="230" w:lineRule="auto" w:before="47"/>
              <w:ind w:left="57" w:right="35" w:hanging="1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Средняя квадратическая погрешность положения характерной точки </w:t>
            </w:r>
            <w:r>
              <w:rPr>
                <w:b/>
                <w:sz w:val="22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line="230" w:lineRule="auto" w:before="47"/>
              <w:ind w:left="23" w:right="4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 обозначения точки на местности (при наличии)</w:t>
            </w:r>
          </w:p>
        </w:tc>
      </w:tr>
      <w:tr>
        <w:trPr>
          <w:trHeight w:val="772" w:hRule="atLeast"/>
        </w:trPr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ind w:left="460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1076" w:type="dxa"/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ind w:left="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1075" w:type="dxa"/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ind w:left="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1017" w:type="dxa"/>
          </w:tcPr>
          <w:p>
            <w:pPr>
              <w:pStyle w:val="TableParagraph"/>
              <w:spacing w:before="11"/>
              <w:jc w:val="left"/>
              <w:rPr>
                <w:sz w:val="21"/>
              </w:rPr>
            </w:pPr>
          </w:p>
          <w:p>
            <w:pPr>
              <w:pStyle w:val="TableParagraph"/>
              <w:ind w:left="429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1404" w:type="dxa"/>
          </w:tcPr>
          <w:p>
            <w:pPr>
              <w:pStyle w:val="TableParagraph"/>
              <w:spacing w:before="31"/>
              <w:ind w:left="648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31"/>
              <w:ind w:left="484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76" w:type="dxa"/>
          </w:tcPr>
          <w:p>
            <w:pPr>
              <w:pStyle w:val="TableParagraph"/>
              <w:spacing w:before="31"/>
              <w:ind w:left="1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31"/>
              <w:ind w:left="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17" w:type="dxa"/>
          </w:tcPr>
          <w:p>
            <w:pPr>
              <w:pStyle w:val="TableParagraph"/>
              <w:spacing w:before="31"/>
              <w:ind w:left="453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516" w:type="dxa"/>
          </w:tcPr>
          <w:p>
            <w:pPr>
              <w:pStyle w:val="TableParagraph"/>
              <w:spacing w:before="31"/>
              <w:ind w:left="704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692" w:type="dxa"/>
          </w:tcPr>
          <w:p>
            <w:pPr>
              <w:pStyle w:val="TableParagraph"/>
              <w:spacing w:before="31"/>
              <w:ind w:left="2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1303" w:type="dxa"/>
          </w:tcPr>
          <w:p>
            <w:pPr>
              <w:pStyle w:val="TableParagraph"/>
              <w:spacing w:before="31"/>
              <w:ind w:left="1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</w:tr>
      <w:tr>
        <w:trPr>
          <w:trHeight w:val="314" w:hRule="atLeast"/>
        </w:trPr>
        <w:tc>
          <w:tcPr>
            <w:tcW w:w="1404" w:type="dxa"/>
          </w:tcPr>
          <w:p>
            <w:pPr>
              <w:pStyle w:val="TableParagraph"/>
              <w:spacing w:before="17"/>
              <w:ind w:left="664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5" w:type="dxa"/>
          </w:tcPr>
          <w:p>
            <w:pPr>
              <w:pStyle w:val="TableParagraph"/>
              <w:spacing w:before="17"/>
              <w:ind w:left="50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before="17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5" w:type="dxa"/>
          </w:tcPr>
          <w:p>
            <w:pPr>
              <w:pStyle w:val="TableParagraph"/>
              <w:spacing w:before="17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17" w:type="dxa"/>
          </w:tcPr>
          <w:p>
            <w:pPr>
              <w:pStyle w:val="TableParagraph"/>
              <w:spacing w:before="17"/>
              <w:ind w:left="4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16" w:type="dxa"/>
          </w:tcPr>
          <w:p>
            <w:pPr>
              <w:pStyle w:val="TableParagraph"/>
              <w:spacing w:before="17"/>
              <w:ind w:left="72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692" w:type="dxa"/>
          </w:tcPr>
          <w:p>
            <w:pPr>
              <w:pStyle w:val="TableParagraph"/>
              <w:spacing w:before="17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10158" w:type="dxa"/>
            <w:gridSpan w:val="8"/>
          </w:tcPr>
          <w:p>
            <w:pPr>
              <w:pStyle w:val="TableParagraph"/>
              <w:spacing w:before="24"/>
              <w:ind w:left="72"/>
              <w:jc w:val="left"/>
              <w:rPr>
                <w:sz w:val="22"/>
              </w:rPr>
            </w:pPr>
            <w:r>
              <w:rPr>
                <w:sz w:val="22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772" w:hRule="atLeast"/>
        </w:trPr>
        <w:tc>
          <w:tcPr>
            <w:tcW w:w="1404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25"/>
              </w:rPr>
            </w:pPr>
          </w:p>
          <w:p>
            <w:pPr>
              <w:pStyle w:val="TableParagraph"/>
              <w:spacing w:line="230" w:lineRule="auto"/>
              <w:ind w:left="57" w:right="36" w:hanging="4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51" w:type="dxa"/>
            <w:gridSpan w:val="2"/>
          </w:tcPr>
          <w:p>
            <w:pPr>
              <w:pStyle w:val="TableParagraph"/>
              <w:spacing w:line="230" w:lineRule="auto" w:before="140"/>
              <w:ind w:left="345" w:hanging="4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</w:tcPr>
          <w:p>
            <w:pPr>
              <w:pStyle w:val="TableParagraph"/>
              <w:spacing w:line="230" w:lineRule="auto" w:before="18"/>
              <w:ind w:left="314" w:right="302" w:firstLine="112"/>
              <w:jc w:val="both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Измененные (уточненные) координаты, </w:t>
            </w:r>
            <w:r>
              <w:rPr>
                <w:b/>
                <w:spacing w:val="-13"/>
                <w:sz w:val="22"/>
              </w:rPr>
              <w:t>м</w:t>
            </w:r>
          </w:p>
        </w:tc>
        <w:tc>
          <w:tcPr>
            <w:tcW w:w="1516" w:type="dxa"/>
            <w:vMerge w:val="restart"/>
          </w:tcPr>
          <w:p>
            <w:pPr>
              <w:pStyle w:val="TableParagraph"/>
              <w:spacing w:line="230" w:lineRule="auto" w:before="170"/>
              <w:ind w:left="109"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Метод определения координат характерной точки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line="230" w:lineRule="auto" w:before="50"/>
              <w:ind w:left="57" w:right="35" w:hanging="1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Средняя квадратическая погрешность положения характерной точки </w:t>
            </w:r>
            <w:r>
              <w:rPr>
                <w:b/>
                <w:sz w:val="22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line="230" w:lineRule="auto" w:before="50"/>
              <w:ind w:left="23" w:right="4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 обозначения точки на местности (при наличии)</w:t>
            </w:r>
          </w:p>
        </w:tc>
      </w:tr>
      <w:tr>
        <w:trPr>
          <w:trHeight w:val="774" w:hRule="atLeast"/>
        </w:trPr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ind w:left="460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1076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ind w:left="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1075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ind w:left="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X</w:t>
            </w:r>
          </w:p>
        </w:tc>
        <w:tc>
          <w:tcPr>
            <w:tcW w:w="1017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ind w:left="429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404" w:type="dxa"/>
          </w:tcPr>
          <w:p>
            <w:pPr>
              <w:pStyle w:val="TableParagraph"/>
              <w:spacing w:before="29"/>
              <w:ind w:left="648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TableParagraph"/>
              <w:spacing w:before="29"/>
              <w:ind w:left="484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076" w:type="dxa"/>
          </w:tcPr>
          <w:p>
            <w:pPr>
              <w:pStyle w:val="TableParagraph"/>
              <w:spacing w:before="29"/>
              <w:ind w:left="1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29"/>
              <w:ind w:left="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017" w:type="dxa"/>
          </w:tcPr>
          <w:p>
            <w:pPr>
              <w:pStyle w:val="TableParagraph"/>
              <w:spacing w:before="29"/>
              <w:ind w:left="453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516" w:type="dxa"/>
          </w:tcPr>
          <w:p>
            <w:pPr>
              <w:pStyle w:val="TableParagraph"/>
              <w:spacing w:before="29"/>
              <w:ind w:left="704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2995" w:type="dxa"/>
            <w:gridSpan w:val="2"/>
          </w:tcPr>
          <w:p>
            <w:pPr>
              <w:pStyle w:val="TableParagraph"/>
              <w:tabs>
                <w:tab w:pos="2289" w:val="left" w:leader="none"/>
              </w:tabs>
              <w:spacing w:before="29"/>
              <w:ind w:left="7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  <w:tab/>
              <w:t>8</w:t>
            </w:r>
          </w:p>
        </w:tc>
      </w:tr>
      <w:tr>
        <w:trPr>
          <w:trHeight w:val="328" w:hRule="atLeast"/>
        </w:trPr>
        <w:tc>
          <w:tcPr>
            <w:tcW w:w="1404" w:type="dxa"/>
          </w:tcPr>
          <w:p>
            <w:pPr>
              <w:pStyle w:val="TableParagraph"/>
              <w:spacing w:before="26"/>
              <w:ind w:left="664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left="50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before="26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5" w:type="dxa"/>
          </w:tcPr>
          <w:p>
            <w:pPr>
              <w:pStyle w:val="TableParagraph"/>
              <w:spacing w:before="26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17" w:type="dxa"/>
          </w:tcPr>
          <w:p>
            <w:pPr>
              <w:pStyle w:val="TableParagraph"/>
              <w:spacing w:before="26"/>
              <w:ind w:left="4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16" w:type="dxa"/>
          </w:tcPr>
          <w:p>
            <w:pPr>
              <w:pStyle w:val="TableParagraph"/>
              <w:spacing w:before="26"/>
              <w:ind w:left="72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692" w:type="dxa"/>
          </w:tcPr>
          <w:p>
            <w:pPr>
              <w:pStyle w:val="TableParagraph"/>
              <w:spacing w:before="26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8383" w:hRule="atLeast"/>
        </w:trPr>
        <w:tc>
          <w:tcPr>
            <w:tcW w:w="10158" w:type="dxa"/>
            <w:gridSpan w:val="8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720" w:bottom="280" w:left="820" w:right="420"/>
        </w:sectPr>
      </w:pPr>
    </w:p>
    <w:p>
      <w:pPr>
        <w:pStyle w:val="Heading1"/>
        <w:spacing w:line="271" w:lineRule="exact" w:before="50"/>
        <w:ind w:left="264"/>
      </w:pPr>
      <w:bookmarkStart w:name="C:\Users\rasenets.y\Desktop\Сервитут Так" w:id="2"/>
      <w:bookmarkEnd w:id="2"/>
      <w:r>
        <w:rPr>
          <w:b w:val="0"/>
        </w:rPr>
      </w:r>
      <w:r>
        <w:rPr/>
        <w:t>Нарьянга Восточно-Сибирской железной дороги», для целей предусмотренных п.2.ч5. ст.</w:t>
      </w:r>
    </w:p>
    <w:p>
      <w:pPr>
        <w:spacing w:line="230" w:lineRule="auto" w:before="3"/>
        <w:ind w:left="766" w:right="0" w:firstLine="161"/>
        <w:jc w:val="left"/>
        <w:rPr>
          <w:b/>
          <w:sz w:val="24"/>
        </w:rPr>
      </w:pPr>
      <w:r>
        <w:rPr>
          <w:b/>
          <w:sz w:val="24"/>
        </w:rPr>
        <w:t>4 Федерального закона от 31.07.2020г. N 254-ФЗ, расположенный в границах кадастрового квартала 38:18:000025 и частично в граница земел</w:t>
      </w:r>
      <w:r>
        <w:rPr>
          <w:b/>
          <w:sz w:val="24"/>
          <w:shd w:fill="F7F8F9" w:color="auto" w:val="clear"/>
        </w:rPr>
        <w:t>ьного участка с </w:t>
      </w:r>
    </w:p>
    <w:p>
      <w:pPr>
        <w:spacing w:line="230" w:lineRule="auto" w:before="2"/>
        <w:ind w:left="2834" w:right="0" w:hanging="2388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251660288" from="530.599915pt,2.451023pt" to="530.599915pt,16.611023pt" stroked="true" strokeweight="2.87982pt" strokecolor="#f7f8f9">
            <v:stroke dashstyle="solid"/>
            <w10:wrap type="none"/>
          </v:line>
        </w:pict>
      </w:r>
      <w:r>
        <w:rPr>
          <w:sz w:val="24"/>
          <w:shd w:fill="F7F8F9" w:color="auto" w:val="clear"/>
        </w:rPr>
        <w:t> </w:t>
      </w:r>
      <w:r>
        <w:rPr>
          <w:b/>
          <w:sz w:val="24"/>
          <w:shd w:fill="F7F8F9" w:color="auto" w:val="clear"/>
        </w:rPr>
        <w:t>кадастровым номе</w:t>
      </w:r>
      <w:r>
        <w:rPr>
          <w:b/>
          <w:sz w:val="24"/>
        </w:rPr>
        <w:t>ром 38:18:000000:769 с местоположением: Российская Федерация, Иркутская область, Усть - Кутский район.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shape style="position:absolute;margin-left:109.5pt;margin-top:14.142213pt;width:80.850pt;height:20.6pt;mso-position-horizontal-relative:page;mso-position-vertical-relative:paragraph;z-index:-251658240;mso-wrap-distance-left:0;mso-wrap-distance-right:0" type="#_x0000_t202" filled="true" fillcolor="#ffffff" stroked="true" strokeweight=".75pt" strokecolor="#000000">
            <v:textbox inset="0,0,0,0">
              <w:txbxContent>
                <w:p>
                  <w:pPr>
                    <w:spacing w:before="68"/>
                    <w:ind w:left="19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38:18:000025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  <w:r>
        <w:rPr/>
        <w:pict>
          <v:shape style="position:absolute;margin-left:378pt;margin-top:13.563672pt;width:90.4pt;height:27.1pt;mso-position-horizontal-relative:page;mso-position-vertical-relative:paragraph;z-index:-251657216;mso-wrap-distance-left:0;mso-wrap-distance-right:0" type="#_x0000_t202" filled="true" fillcolor="#ffffff" stroked="true" strokeweight=".75pt" strokecolor="#000000">
            <v:textbox inset="0,0,0,0">
              <w:txbxContent>
                <w:p>
                  <w:pPr>
                    <w:pStyle w:val="BodyText"/>
                    <w:spacing w:line="247" w:lineRule="auto" w:before="67"/>
                    <w:ind w:left="145" w:right="245"/>
                  </w:pPr>
                  <w:r>
                    <w:rPr/>
                    <w:t>Иркутская область, Усть-Кутский район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94"/>
        <w:ind w:left="115"/>
      </w:pPr>
      <w:r>
        <w:rPr/>
        <w:pict>
          <v:group style="position:absolute;margin-left:41.158001pt;margin-top:-431.091248pt;width:530.550pt;height:572.9pt;mso-position-horizontal-relative:page;mso-position-vertical-relative:paragraph;z-index:-252664832" coordorigin="823,-8622" coordsize="10611,11458">
            <v:line style="position:absolute" from="833,-8617" to="11424,-8617" stroked="true" strokeweight=".47998pt" strokecolor="#000000">
              <v:stroke dashstyle="solid"/>
            </v:line>
            <v:line style="position:absolute" from="833,-91" to="11424,-91" stroked="true" strokeweight=".480042pt" strokecolor="#000000">
              <v:stroke dashstyle="solid"/>
            </v:line>
            <v:line style="position:absolute" from="828,-8622" to="828,2826" stroked="true" strokeweight=".48pt" strokecolor="#000000">
              <v:stroke dashstyle="solid"/>
            </v:line>
            <v:rect style="position:absolute;left:823;top:2825;width:10;height:10" filled="true" fillcolor="#000000" stroked="false">
              <v:fill type="solid"/>
            </v:rect>
            <v:line style="position:absolute" from="833,2831" to="11424,2831" stroked="true" strokeweight=".479973pt" strokecolor="#000000">
              <v:stroke dashstyle="solid"/>
            </v:line>
            <v:line style="position:absolute" from="11429,-8622" to="11429,2826" stroked="true" strokeweight=".47998pt" strokecolor="#000000">
              <v:stroke dashstyle="solid"/>
            </v:line>
            <v:rect style="position:absolute;left:11424;top:2825;width:10;height:10" filled="true" fillcolor="#000000" stroked="false">
              <v:fill type="solid"/>
            </v:rect>
            <v:shape style="position:absolute;left:2031;top:-8337;width:8211;height:7969" type="#_x0000_t75" stroked="false">
              <v:imagedata r:id="rId6" o:title=""/>
            </v:shape>
            <v:line style="position:absolute" from="951,1340" to="1516,1340" stroked="true" strokeweight="1.25pt" strokecolor="#000000">
              <v:stroke dashstyle="shortdash"/>
            </v:line>
            <v:line style="position:absolute" from="1040,956" to="1570,956" stroked="true" strokeweight="1.5pt" strokecolor="#1b34f1">
              <v:stroke dashstyle="solid"/>
            </v:line>
            <v:line style="position:absolute" from="1045,1137" to="1575,1137" stroked="true" strokeweight="1.5pt" strokecolor="#bf0000">
              <v:stroke dashstyle="solid"/>
            </v:line>
            <w10:wrap type="none"/>
          </v:group>
        </w:pict>
      </w:r>
      <w:r>
        <w:rPr/>
        <w:t>Масштаб 1:2000</w:t>
      </w:r>
    </w:p>
    <w:p>
      <w:pPr>
        <w:pStyle w:val="BodyText"/>
        <w:spacing w:before="1"/>
        <w:ind w:left="115"/>
      </w:pPr>
      <w:r>
        <w:rPr/>
        <w:t>Система координат МСК-38</w:t>
      </w:r>
    </w:p>
    <w:p>
      <w:pPr>
        <w:spacing w:line="183" w:lineRule="exact" w:before="1"/>
        <w:ind w:left="115" w:right="0" w:firstLine="0"/>
        <w:jc w:val="left"/>
        <w:rPr>
          <w:i/>
          <w:sz w:val="16"/>
        </w:rPr>
      </w:pPr>
      <w:r>
        <w:rPr>
          <w:i/>
          <w:sz w:val="16"/>
        </w:rPr>
        <w:t>Условные обозначения:</w:t>
      </w:r>
    </w:p>
    <w:p>
      <w:pPr>
        <w:pStyle w:val="Heading2"/>
        <w:numPr>
          <w:ilvl w:val="0"/>
          <w:numId w:val="1"/>
        </w:numPr>
        <w:tabs>
          <w:tab w:pos="222" w:val="left" w:leader="none"/>
        </w:tabs>
        <w:spacing w:line="206" w:lineRule="exact" w:before="0" w:after="0"/>
        <w:ind w:left="221" w:right="0" w:hanging="107"/>
        <w:jc w:val="left"/>
      </w:pPr>
      <w:r>
        <w:rPr/>
        <w:t>1 – характерная точка границы, сведения о которой позволяют однозначно определить ее положение на</w:t>
      </w:r>
      <w:r>
        <w:rPr>
          <w:spacing w:val="-10"/>
        </w:rPr>
        <w:t> </w:t>
      </w:r>
      <w:r>
        <w:rPr/>
        <w:t>местности;</w:t>
      </w: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184" w:lineRule="exact" w:before="0" w:after="0"/>
        <w:ind w:left="973" w:right="0" w:hanging="95"/>
        <w:jc w:val="left"/>
        <w:rPr>
          <w:sz w:val="16"/>
        </w:rPr>
      </w:pPr>
      <w:r>
        <w:rPr>
          <w:sz w:val="16"/>
        </w:rPr>
        <w:t>граница контура публичного сервитута (Площадь контура публичного сервитута 729 кв.м.; контур</w:t>
      </w:r>
      <w:r>
        <w:rPr>
          <w:spacing w:val="-10"/>
          <w:sz w:val="16"/>
        </w:rPr>
        <w:t> </w:t>
      </w:r>
      <w:r>
        <w:rPr>
          <w:sz w:val="16"/>
        </w:rPr>
        <w:t>5);</w:t>
      </w: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183" w:lineRule="exact" w:before="0" w:after="0"/>
        <w:ind w:left="973" w:right="0" w:hanging="95"/>
        <w:jc w:val="left"/>
        <w:rPr>
          <w:sz w:val="16"/>
        </w:rPr>
      </w:pPr>
      <w:r>
        <w:rPr>
          <w:sz w:val="16"/>
        </w:rPr>
        <w:t>граница земельного участка, сведения о котором имеются в</w:t>
      </w:r>
      <w:r>
        <w:rPr>
          <w:spacing w:val="-3"/>
          <w:sz w:val="16"/>
        </w:rPr>
        <w:t> </w:t>
      </w:r>
      <w:r>
        <w:rPr>
          <w:sz w:val="16"/>
        </w:rPr>
        <w:t>ЕГРН;</w:t>
      </w:r>
    </w:p>
    <w:p>
      <w:pPr>
        <w:pStyle w:val="BodyText"/>
        <w:tabs>
          <w:tab w:pos="836" w:val="left" w:leader="none"/>
        </w:tabs>
        <w:ind w:left="115" w:right="484" w:firstLine="15"/>
      </w:pPr>
      <w:r>
        <w:rPr>
          <w:sz w:val="24"/>
        </w:rPr>
        <w:t> </w:t>
        <w:tab/>
        <w:t>- </w:t>
      </w:r>
      <w:r>
        <w:rPr/>
        <w:t>сети инженерно-технического обеспечения проектируемые (переустраиваемые), являющиеся неотъемлемой технологической частью линейного объекта «Второй главный путь на перегоне Таковка – Небель с закрытием разъезда Нарьянга Восточно-Сибирской железной дороги»; </w:t>
      </w:r>
      <w:r>
        <w:rPr>
          <w:sz w:val="18"/>
          <w:shd w:fill="F7F8F9" w:color="auto" w:val="clear"/>
        </w:rPr>
        <w:t>38:18:000000:769</w:t>
      </w:r>
      <w:r>
        <w:rPr>
          <w:b/>
        </w:rPr>
        <w:t>- </w:t>
      </w:r>
      <w:r>
        <w:rPr/>
        <w:t>кадастровый номер земельного участка, сведения о котором имеются в</w:t>
      </w:r>
      <w:r>
        <w:rPr>
          <w:spacing w:val="-13"/>
        </w:rPr>
        <w:t> </w:t>
      </w:r>
      <w:r>
        <w:rPr/>
        <w:t>ЕГРН.</w:t>
      </w:r>
    </w:p>
    <w:p>
      <w:pPr>
        <w:pStyle w:val="BodyText"/>
        <w:spacing w:line="360" w:lineRule="auto" w:before="106"/>
        <w:ind w:left="115" w:right="2833"/>
      </w:pPr>
      <w:r>
        <w:rPr/>
        <w:t>38:18:000025 – кадастровый квартал в границах которого расположен образуемый контур бубличного сервитута Площадь контура составляет 52 кв.м.</w:t>
      </w:r>
    </w:p>
    <w:p>
      <w:pPr>
        <w:spacing w:after="0" w:line="360" w:lineRule="auto"/>
        <w:sectPr>
          <w:headerReference w:type="default" r:id="rId5"/>
          <w:pgSz w:w="11910" w:h="16840"/>
          <w:pgMar w:header="636" w:footer="0" w:top="1360" w:bottom="280" w:left="820" w:right="420"/>
        </w:sectPr>
      </w:pPr>
    </w:p>
    <w:p>
      <w:pPr>
        <w:pStyle w:val="Heading1"/>
        <w:tabs>
          <w:tab w:pos="3780" w:val="left" w:leader="none"/>
          <w:tab w:pos="4085" w:val="left" w:leader="none"/>
        </w:tabs>
        <w:spacing w:line="230" w:lineRule="auto"/>
        <w:ind w:left="699" w:right="686" w:hanging="438"/>
      </w:pPr>
      <w:r>
        <w:rPr/>
        <w:pict>
          <v:group style="position:absolute;margin-left:41.158001pt;margin-top:125.060005pt;width:530.550pt;height:629.65pt;mso-position-horizontal-relative:page;mso-position-vertical-relative:page;z-index:-252660736" coordorigin="823,2501" coordsize="10611,12593">
            <v:line style="position:absolute" from="833,2506" to="11424,2506" stroked="true" strokeweight=".47998pt" strokecolor="#000000">
              <v:stroke dashstyle="solid"/>
            </v:line>
            <v:line style="position:absolute" from="833,12170" to="11424,12170" stroked="true" strokeweight=".480042pt" strokecolor="#000000">
              <v:stroke dashstyle="solid"/>
            </v:line>
            <v:line style="position:absolute" from="828,2501" to="828,15084" stroked="true" strokeweight=".48pt" strokecolor="#000000">
              <v:stroke dashstyle="solid"/>
            </v:line>
            <v:rect style="position:absolute;left:823;top:15084;width:10;height:10" filled="true" fillcolor="#000000" stroked="false">
              <v:fill type="solid"/>
            </v:rect>
            <v:line style="position:absolute" from="833,15089" to="11424,15089" stroked="true" strokeweight=".479973pt" strokecolor="#000000">
              <v:stroke dashstyle="solid"/>
            </v:line>
            <v:line style="position:absolute" from="11429,2501" to="11429,15084" stroked="true" strokeweight=".47998pt" strokecolor="#000000">
              <v:stroke dashstyle="solid"/>
            </v:line>
            <v:rect style="position:absolute;left:11424;top:15084;width:10;height:10" filled="true" fillcolor="#000000" stroked="false">
              <v:fill type="solid"/>
            </v:rect>
            <v:shape style="position:absolute;left:1739;top:2785;width:8809;height:9106" type="#_x0000_t75" stroked="false">
              <v:imagedata r:id="rId7" o:title=""/>
            </v:shape>
            <v:line style="position:absolute" from="951,13599" to="1516,13599" stroked="true" strokeweight="1.25pt" strokecolor="#000000">
              <v:stroke dashstyle="shortdash"/>
            </v:line>
            <v:line style="position:absolute" from="1040,13216" to="1570,13216" stroked="true" strokeweight="1.5pt" strokecolor="#1b34f1">
              <v:stroke dashstyle="solid"/>
            </v:line>
            <v:line style="position:absolute" from="1045,13396" to="1575,13396" stroked="true" strokeweight="1.5pt" strokecolor="#bf0000">
              <v:stroke dashstyle="solid"/>
            </v:line>
            <w10:wrap type="none"/>
          </v:group>
        </w:pict>
      </w:r>
      <w:r>
        <w:rPr/>
        <w:t>Нарьянга</w:t>
      </w:r>
      <w:r>
        <w:rPr>
          <w:spacing w:val="-1"/>
        </w:rPr>
        <w:t> </w:t>
      </w:r>
      <w:r>
        <w:rPr/>
        <w:t>Восточно-Сибирской</w:t>
        <w:tab/>
        <w:tab/>
        <w:t>железной дороги», для целей предусмотренных п.2.ч5. ст. 4</w:t>
      </w:r>
      <w:r>
        <w:rPr>
          <w:spacing w:val="-1"/>
        </w:rPr>
        <w:t> </w:t>
      </w:r>
      <w:r>
        <w:rPr/>
        <w:t>Федерального</w:t>
      </w:r>
      <w:r>
        <w:rPr>
          <w:spacing w:val="-1"/>
        </w:rPr>
        <w:t> </w:t>
      </w:r>
      <w:r>
        <w:rPr/>
        <w:t>закона</w:t>
        <w:tab/>
        <w:t>от 31.07.2020г. N 254-ФЗ, расположенный в</w:t>
      </w:r>
      <w:r>
        <w:rPr>
          <w:spacing w:val="-4"/>
        </w:rPr>
        <w:t> </w:t>
      </w:r>
      <w:r>
        <w:rPr/>
        <w:t>границах</w:t>
      </w:r>
    </w:p>
    <w:p>
      <w:pPr>
        <w:tabs>
          <w:tab w:pos="629" w:val="left" w:leader="none"/>
        </w:tabs>
        <w:spacing w:line="230" w:lineRule="auto" w:before="0"/>
        <w:ind w:left="2804" w:right="1055" w:hanging="2461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251664384" from="535.769897pt,1.83502pt" to="535.769897pt,15.99502pt" stroked="true" strokeweight="2.87982pt" strokecolor="#f7f8f9">
            <v:stroke dashstyle="solid"/>
            <w10:wrap type="none"/>
          </v:line>
        </w:pict>
      </w:r>
      <w:r>
        <w:rPr>
          <w:sz w:val="24"/>
          <w:shd w:fill="F7F8F9" w:color="auto" w:val="clear"/>
        </w:rPr>
        <w:t> </w:t>
        <w:tab/>
      </w:r>
      <w:r>
        <w:rPr>
          <w:b/>
          <w:sz w:val="24"/>
          <w:shd w:fill="F7F8F9" w:color="auto" w:val="clear"/>
        </w:rPr>
        <w:t>кадастрового ква</w:t>
      </w:r>
      <w:r>
        <w:rPr>
          <w:b/>
          <w:sz w:val="24"/>
        </w:rPr>
        <w:t>ртала 38:18:000028 с местоположением: Российская Федерация, Иркутская область, Усть – Кутский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район.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  <w:r>
        <w:rPr/>
        <w:pict>
          <v:shape style="position:absolute;margin-left:102.580002pt;margin-top:10.225813pt;width:90.4pt;height:27.1pt;mso-position-horizontal-relative:page;mso-position-vertical-relative:paragraph;z-index:-251654144;mso-wrap-distance-left:0;mso-wrap-distance-right:0" type="#_x0000_t202" filled="true" fillcolor="#ffffff" stroked="true" strokeweight=".75pt" strokecolor="#000000">
            <v:textbox inset="0,0,0,0">
              <w:txbxContent>
                <w:p>
                  <w:pPr>
                    <w:pStyle w:val="BodyText"/>
                    <w:spacing w:line="244" w:lineRule="auto" w:before="68"/>
                    <w:ind w:left="144" w:right="246"/>
                  </w:pPr>
                  <w:r>
                    <w:rPr/>
                    <w:t>Иркутская область, Усть-Кутский район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  <w:r>
        <w:rPr/>
        <w:pict>
          <v:shape style="position:absolute;margin-left:369.25pt;margin-top:9.122695pt;width:80.850pt;height:20.6pt;mso-position-horizontal-relative:page;mso-position-vertical-relative:paragraph;z-index:-251653120;mso-wrap-distance-left:0;mso-wrap-distance-right:0" type="#_x0000_t202" filled="true" fillcolor="#ffffff" stroked="true" strokeweight=".75pt" strokecolor="#000000">
            <v:textbox inset="0,0,0,0">
              <w:txbxContent>
                <w:p>
                  <w:pPr>
                    <w:spacing w:before="68"/>
                    <w:ind w:left="19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38:18:000028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183" w:lineRule="exact"/>
        <w:ind w:left="115"/>
      </w:pPr>
      <w:r>
        <w:rPr/>
        <w:t>Масштаб 1:2000</w:t>
      </w:r>
    </w:p>
    <w:p>
      <w:pPr>
        <w:pStyle w:val="BodyText"/>
        <w:spacing w:line="183" w:lineRule="exact"/>
        <w:ind w:left="115"/>
      </w:pPr>
      <w:r>
        <w:rPr/>
        <w:t>Система координат МСК-38</w:t>
      </w:r>
    </w:p>
    <w:p>
      <w:pPr>
        <w:spacing w:before="1"/>
        <w:ind w:left="115" w:right="0" w:firstLine="0"/>
        <w:jc w:val="left"/>
        <w:rPr>
          <w:i/>
          <w:sz w:val="16"/>
        </w:rPr>
      </w:pPr>
      <w:r>
        <w:rPr>
          <w:i/>
          <w:sz w:val="16"/>
        </w:rPr>
        <w:t>Условные обозначения:</w:t>
      </w:r>
    </w:p>
    <w:p>
      <w:pPr>
        <w:pStyle w:val="Heading2"/>
        <w:numPr>
          <w:ilvl w:val="0"/>
          <w:numId w:val="1"/>
        </w:numPr>
        <w:tabs>
          <w:tab w:pos="222" w:val="left" w:leader="none"/>
        </w:tabs>
        <w:spacing w:line="206" w:lineRule="exact" w:before="1" w:after="0"/>
        <w:ind w:left="221" w:right="0" w:hanging="107"/>
        <w:jc w:val="left"/>
      </w:pPr>
      <w:r>
        <w:rPr/>
        <w:t>1 – характерная точка границы, сведения о которой позволяют однозначно определить ее положение на</w:t>
      </w:r>
      <w:r>
        <w:rPr>
          <w:spacing w:val="-13"/>
        </w:rPr>
        <w:t> </w:t>
      </w:r>
      <w:r>
        <w:rPr/>
        <w:t>местности;</w:t>
      </w: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183" w:lineRule="exact" w:before="0" w:after="0"/>
        <w:ind w:left="973" w:right="0" w:hanging="95"/>
        <w:jc w:val="left"/>
        <w:rPr>
          <w:sz w:val="16"/>
        </w:rPr>
      </w:pPr>
      <w:r>
        <w:rPr>
          <w:sz w:val="16"/>
        </w:rPr>
        <w:t>граница контура публичного сервитута (Площадь контура публичного сервитута 729 кв.м.; контур</w:t>
      </w:r>
      <w:r>
        <w:rPr>
          <w:spacing w:val="-12"/>
          <w:sz w:val="16"/>
        </w:rPr>
        <w:t> </w:t>
      </w:r>
      <w:r>
        <w:rPr>
          <w:sz w:val="16"/>
        </w:rPr>
        <w:t>5);</w:t>
      </w: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182" w:lineRule="exact" w:before="0" w:after="0"/>
        <w:ind w:left="973" w:right="0" w:hanging="95"/>
        <w:jc w:val="left"/>
        <w:rPr>
          <w:sz w:val="16"/>
        </w:rPr>
      </w:pPr>
      <w:r>
        <w:rPr>
          <w:sz w:val="16"/>
        </w:rPr>
        <w:t>граница земельного участка, сведения о котором имеются в</w:t>
      </w:r>
      <w:r>
        <w:rPr>
          <w:spacing w:val="-6"/>
          <w:sz w:val="16"/>
        </w:rPr>
        <w:t> </w:t>
      </w:r>
      <w:r>
        <w:rPr>
          <w:sz w:val="16"/>
        </w:rPr>
        <w:t>ЕГРН;</w:t>
      </w:r>
    </w:p>
    <w:p>
      <w:pPr>
        <w:pStyle w:val="BodyText"/>
        <w:tabs>
          <w:tab w:pos="836" w:val="left" w:leader="none"/>
        </w:tabs>
        <w:spacing w:line="242" w:lineRule="auto"/>
        <w:ind w:left="115" w:right="484" w:firstLine="15"/>
      </w:pPr>
      <w:r>
        <w:rPr>
          <w:sz w:val="24"/>
        </w:rPr>
        <w:t> </w:t>
        <w:tab/>
        <w:t>- </w:t>
      </w:r>
      <w:r>
        <w:rPr/>
        <w:t>сети инженерно-технического обеспечения проектируемые (переустраиваемые), являющиеся неотъемлемой технологической частью линейного объекта «Второй главный путь на перегоне Таковка – Небель с закрытием разъезда Нарьянга Восточно-Сибирской железной дороги»; </w:t>
      </w:r>
      <w:r>
        <w:rPr>
          <w:sz w:val="18"/>
          <w:shd w:fill="F7F8F9" w:color="auto" w:val="clear"/>
        </w:rPr>
        <w:t>38:18:000000:769</w:t>
      </w:r>
      <w:r>
        <w:rPr>
          <w:b/>
        </w:rPr>
        <w:t>- </w:t>
      </w:r>
      <w:r>
        <w:rPr/>
        <w:t>кадастровый номер земельного участка, сведения о котором имеются в</w:t>
      </w:r>
      <w:r>
        <w:rPr>
          <w:spacing w:val="-12"/>
        </w:rPr>
        <w:t> </w:t>
      </w:r>
      <w:r>
        <w:rPr/>
        <w:t>ЕГРН.</w:t>
      </w:r>
    </w:p>
    <w:p>
      <w:pPr>
        <w:pStyle w:val="BodyText"/>
        <w:spacing w:line="360" w:lineRule="auto" w:before="99"/>
        <w:ind w:left="115" w:right="2833"/>
      </w:pPr>
      <w:r>
        <w:rPr/>
        <w:t>38:18:000028 – кадастровый квартал в границах которого расположен образуемый контур бубличного сервитута Площадь контура составляет 24 кв.м.</w:t>
      </w:r>
    </w:p>
    <w:sectPr>
      <w:pgSz w:w="11910" w:h="16840"/>
      <w:pgMar w:header="636" w:footer="0" w:top="1360" w:bottom="280" w:left="8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Helvetica">
    <w:altName w:val="Helvetica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283997pt;margin-top:27.260624pt;width:21.35pt;height:15.3pt;mso-position-horizontal-relative:page;mso-position-vertical-relative:page;z-index:-2526679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для</w:t>
                </w:r>
              </w:p>
            </w:txbxContent>
          </v:textbox>
          <w10:wrap type="none"/>
        </v:shape>
      </w:pict>
    </w:r>
    <w:r>
      <w:rPr/>
      <w:pict>
        <v:shape style="position:absolute;margin-left:116.186996pt;margin-top:27.786623pt;width:386.15pt;height:15.3pt;mso-position-horizontal-relative:page;mso-position-vertical-relative:page;z-index:-2526668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Графическое описание местоположения границ публичного сервитута</w:t>
                </w:r>
              </w:p>
            </w:txbxContent>
          </v:textbox>
          <w10:wrap type="none"/>
        </v:shape>
      </w:pict>
    </w:r>
    <w:r>
      <w:rPr/>
      <w:pict>
        <v:shape style="position:absolute;margin-left:57.228001pt;margin-top:40.544624pt;width:479.3pt;height:29.1pt;mso-position-horizontal-relative:page;mso-position-vertical-relative:page;z-index:-252665856" type="#_x0000_t202" filled="false" stroked="false">
          <v:textbox inset="0,0,0,0">
            <w:txbxContent>
              <w:p>
                <w:pPr>
                  <w:tabs>
                    <w:tab w:pos="1241" w:val="left" w:leader="none"/>
                  </w:tabs>
                  <w:spacing w:line="223" w:lineRule="auto" w:before="26"/>
                  <w:ind w:left="89" w:right="18" w:hanging="7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обеспечения строительства, </w:t>
                </w:r>
                <w:r>
                  <w:rPr>
                    <w:b/>
                    <w:position w:val="1"/>
                    <w:sz w:val="24"/>
                  </w:rPr>
                  <w:t>реко</w:t>
                </w:r>
                <w:r>
                  <w:rPr>
                    <w:b/>
                    <w:sz w:val="24"/>
                  </w:rPr>
                  <w:t>нструкции объектов инфраструктуры при</w:t>
                </w:r>
                <w:r>
                  <w:rPr>
                    <w:b/>
                    <w:spacing w:val="-29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реализации объекта</w:t>
                  <w:tab/>
                </w:r>
                <w:r>
                  <w:rPr>
                    <w:b/>
                    <w:position w:val="1"/>
                    <w:sz w:val="24"/>
                  </w:rPr>
                  <w:t>«Второй </w:t>
                </w:r>
                <w:r>
                  <w:rPr>
                    <w:b/>
                    <w:sz w:val="24"/>
                  </w:rPr>
                  <w:t>главный путь на перегоне Таковка – Небель с закрытием</w:t>
                </w:r>
                <w:r>
                  <w:rPr>
                    <w:b/>
                    <w:spacing w:val="-1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разъезда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21" w:hanging="106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ru-RU" w:bidi="ru-RU"/>
      </w:rPr>
    </w:lvl>
    <w:lvl w:ilvl="1">
      <w:start w:val="0"/>
      <w:numFmt w:val="bullet"/>
      <w:lvlText w:val="-"/>
      <w:lvlJc w:val="left"/>
      <w:pPr>
        <w:ind w:left="973" w:hanging="94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56" w:hanging="9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32" w:hanging="9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208" w:hanging="9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85" w:hanging="9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361" w:hanging="9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437" w:hanging="9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513" w:hanging="9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line="206" w:lineRule="exact"/>
      <w:ind w:left="221" w:hanging="107"/>
      <w:outlineLvl w:val="2"/>
    </w:pPr>
    <w:rPr>
      <w:rFonts w:ascii="Times New Roman" w:hAnsi="Times New Roman" w:eastAsia="Times New Roman" w:cs="Times New Roman"/>
      <w:sz w:val="18"/>
      <w:szCs w:val="1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spacing w:line="183" w:lineRule="exact"/>
      <w:ind w:left="973" w:hanging="95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Описание местоположения границ</dc:subject>
  <dc:title>Report</dc:title>
  <dcterms:created xsi:type="dcterms:W3CDTF">2023-01-26T05:23:45Z</dcterms:created>
  <dcterms:modified xsi:type="dcterms:W3CDTF">2023-01-26T05:23:45Z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2023-01-26T00:00:00Z</vt:filetime>
  </property>
</Properties>
</file>